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ermStart w:id="1569987561" w:edGrp="everyone"/>
    <w:p w:rsidR="00603F91" w:rsidRDefault="00793841">
      <w:pPr>
        <w:pStyle w:val="En-tte"/>
        <w:tabs>
          <w:tab w:val="clear" w:pos="4536"/>
          <w:tab w:val="clear" w:pos="9072"/>
        </w:tabs>
        <w:rPr>
          <w:noProof/>
          <w:u w:val="singl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762000</wp:posOffset>
                </wp:positionV>
                <wp:extent cx="3419475" cy="304800"/>
                <wp:effectExtent l="6985" t="6985" r="31115" b="4064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793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 xml:space="preserve">Guide du rapport financier-Partie comptable </w:t>
                            </w:r>
                          </w:p>
                          <w:p w:rsidR="00603F91" w:rsidRDefault="00793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(Décret2009)</w:t>
                            </w:r>
                          </w:p>
                          <w:p w:rsidR="00603F91" w:rsidRDefault="007938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Opérateur de droit privé</w:t>
                            </w: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hadow/>
                                <w:color w:val="C0C0C0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</w:p>
                          <w:p w:rsidR="00603F91" w:rsidRDefault="00603F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14pt;margin-top:60pt;width:269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" o:allowincell="f" filled="f" stroked="f">
                <v:stroke joinstyle="round"/>
                <o:lock v:ext="edit" shapetype="t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 xml:space="preserve">Guide du rapport financier-Partie comptable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(Décret2009)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Opérateur de droit privé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hadow/>
                          <w:color w:val="C0C0C0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ermEnd w:id="1569987561"/>
    </w:p>
    <w:p w:rsidR="00603F91" w:rsidRDefault="00603F91">
      <w:pPr>
        <w:pStyle w:val="En-tte"/>
        <w:tabs>
          <w:tab w:val="clear" w:pos="4536"/>
          <w:tab w:val="clear" w:pos="9072"/>
        </w:tabs>
      </w:pPr>
    </w:p>
    <w:p w:rsidR="00603F91" w:rsidRDefault="0079384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3F91" w:rsidRDefault="00603F91">
      <w:pPr>
        <w:jc w:val="both"/>
        <w:rPr>
          <w:rFonts w:ascii="Verdana" w:hAnsi="Verdana"/>
        </w:rPr>
      </w:pPr>
    </w:p>
    <w:p w:rsidR="00603F91" w:rsidRDefault="00603F91">
      <w:pPr>
        <w:jc w:val="both"/>
        <w:rPr>
          <w:rFonts w:ascii="Verdana" w:hAnsi="Verdana" w:cstheme="minorHAnsi"/>
          <w:sz w:val="22"/>
          <w:szCs w:val="22"/>
        </w:rPr>
      </w:pPr>
    </w:p>
    <w:p w:rsidR="00603F91" w:rsidRDefault="00793841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Le rapport financier se compose de trois parties </w:t>
      </w:r>
    </w:p>
    <w:p w:rsidR="00603F91" w:rsidRDefault="00603F91">
      <w:pPr>
        <w:jc w:val="both"/>
        <w:rPr>
          <w:rFonts w:ascii="Verdana" w:hAnsi="Verdana" w:cstheme="minorHAnsi"/>
        </w:rPr>
      </w:pPr>
    </w:p>
    <w:p w:rsidR="00603F91" w:rsidRDefault="00793841">
      <w:pPr>
        <w:pStyle w:val="Paragraphedeliste"/>
        <w:numPr>
          <w:ilvl w:val="0"/>
          <w:numId w:val="2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Un volet Personnel </w:t>
      </w:r>
    </w:p>
    <w:p w:rsidR="00603F91" w:rsidRDefault="00793841">
      <w:pPr>
        <w:pStyle w:val="Paragraphedeliste"/>
        <w:numPr>
          <w:ilvl w:val="0"/>
          <w:numId w:val="2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Un volet comptabilité</w:t>
      </w:r>
    </w:p>
    <w:p w:rsidR="00603F91" w:rsidRDefault="00793841">
      <w:pPr>
        <w:pStyle w:val="Paragraphedeliste"/>
        <w:numPr>
          <w:ilvl w:val="0"/>
          <w:numId w:val="22"/>
        </w:num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Des annexes</w:t>
      </w:r>
    </w:p>
    <w:p w:rsidR="00603F91" w:rsidRDefault="00603F91">
      <w:pPr>
        <w:jc w:val="both"/>
        <w:rPr>
          <w:rFonts w:ascii="Verdana" w:hAnsi="Verdana" w:cstheme="minorHAnsi"/>
          <w:sz w:val="24"/>
          <w:szCs w:val="24"/>
        </w:rPr>
      </w:pPr>
    </w:p>
    <w:p w:rsidR="00603F91" w:rsidRDefault="00793841">
      <w:pPr>
        <w:pStyle w:val="Titre1"/>
        <w:numPr>
          <w:ilvl w:val="0"/>
          <w:numId w:val="1"/>
        </w:numPr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Volet « Personnel »</w:t>
      </w:r>
    </w:p>
    <w:p w:rsidR="00603F91" w:rsidRDefault="00603F91">
      <w:pPr>
        <w:rPr>
          <w:rFonts w:ascii="Verdana" w:hAnsi="Verdana"/>
        </w:rPr>
      </w:pPr>
    </w:p>
    <w:p w:rsidR="00603F91" w:rsidRDefault="00793841">
      <w:pPr>
        <w:jc w:val="both"/>
        <w:rPr>
          <w:rStyle w:val="Lienhypertexte"/>
          <w:rFonts w:ascii="Verdana" w:hAnsi="Verdana"/>
        </w:rPr>
      </w:pPr>
      <w:r>
        <w:rPr>
          <w:rFonts w:ascii="Verdana" w:hAnsi="Verdana"/>
        </w:rPr>
        <w:t xml:space="preserve">Les données relatives au personnel devront être introduites dans la base de données SICE : </w:t>
      </w:r>
      <w:hyperlink r:id="rId8" w:tgtFrame="_blank" w:tooltip="Ouvre un lien externe dans une nouvelle fenêtre" w:history="1">
        <w:r>
          <w:rPr>
            <w:rStyle w:val="Lienhypertexte"/>
            <w:rFonts w:ascii="Verdana" w:hAnsi="Verdana"/>
          </w:rPr>
          <w:t>http://www.cadastre-emploi.cfwb.be/</w:t>
        </w:r>
      </w:hyperlink>
    </w:p>
    <w:p w:rsidR="00603F91" w:rsidRDefault="00793841">
      <w:pPr>
        <w:jc w:val="both"/>
        <w:rPr>
          <w:rFonts w:ascii="Verdana" w:hAnsi="Verdana"/>
        </w:rPr>
      </w:pPr>
      <w:r>
        <w:rPr>
          <w:rStyle w:val="Lienhypertexte"/>
          <w:rFonts w:ascii="Verdana" w:hAnsi="Verdana"/>
          <w:color w:val="auto"/>
          <w:u w:val="none"/>
        </w:rPr>
        <w:t>Une information complète sera donnée à ce sujet plus tard dans l’année.</w:t>
      </w:r>
    </w:p>
    <w:p w:rsidR="00603F91" w:rsidRDefault="00603F91">
      <w:pPr>
        <w:jc w:val="both"/>
        <w:rPr>
          <w:rFonts w:ascii="Verdana" w:hAnsi="Verdana"/>
        </w:rPr>
      </w:pPr>
    </w:p>
    <w:p w:rsidR="00603F91" w:rsidRDefault="00793841">
      <w:pPr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Afin de permettre la vérification des données de cet encodage, il est demandé de joindre en annexe du présent rapport, </w:t>
      </w:r>
      <w:r>
        <w:rPr>
          <w:rFonts w:ascii="Verdana" w:hAnsi="Verdana"/>
        </w:rPr>
        <w:t xml:space="preserve">pour les personnes reprises pour la première fois pour justifier la subvention « Permanent » : la copie du diplôme ou la copie du PV du jury de sélection ou, en ce qui concerne les animateurs, </w:t>
      </w:r>
      <w:r>
        <w:rPr>
          <w:rFonts w:ascii="Verdana" w:hAnsi="Verdana"/>
          <w:lang w:val="fr-BE"/>
        </w:rPr>
        <w:t>la preuve du fait que la personne concernée a été subventionnée comme animateur dans une autre institution agréée par la FWB (un simple courrier du Service concerné ou une copie du RF fourni à l’époque à celui-ci, …).</w:t>
      </w:r>
    </w:p>
    <w:p w:rsidR="00603F91" w:rsidRDefault="00603F91">
      <w:pPr>
        <w:jc w:val="both"/>
        <w:rPr>
          <w:rFonts w:ascii="Verdana" w:hAnsi="Verdana"/>
        </w:rPr>
      </w:pPr>
    </w:p>
    <w:p w:rsidR="00603F91" w:rsidRDefault="00793841">
      <w:pPr>
        <w:pStyle w:val="Titre1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Volet « Comptabilité »</w:t>
      </w:r>
    </w:p>
    <w:p w:rsidR="00603F91" w:rsidRDefault="00603F91">
      <w:pPr>
        <w:jc w:val="both"/>
        <w:rPr>
          <w:rFonts w:ascii="Verdana" w:hAnsi="Verdana"/>
          <w:color w:val="FF0000"/>
        </w:rPr>
      </w:pPr>
    </w:p>
    <w:p w:rsidR="00603F91" w:rsidRDefault="007938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Ce volet comporte est composé de </w:t>
      </w:r>
    </w:p>
    <w:p w:rsidR="00603F91" w:rsidRDefault="00603F91">
      <w:pPr>
        <w:jc w:val="both"/>
        <w:rPr>
          <w:rFonts w:ascii="Verdana" w:hAnsi="Verdana"/>
        </w:rPr>
      </w:pPr>
    </w:p>
    <w:p w:rsidR="00603F91" w:rsidRDefault="00793841">
      <w:pPr>
        <w:pStyle w:val="Paragraphedeliste"/>
        <w:numPr>
          <w:ilvl w:val="0"/>
          <w:numId w:val="3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2 modèles de comptabilité </w:t>
      </w:r>
    </w:p>
    <w:p w:rsidR="00603F91" w:rsidRDefault="00793841">
      <w:pPr>
        <w:pStyle w:val="Paragraphedeliste"/>
        <w:numPr>
          <w:ilvl w:val="0"/>
          <w:numId w:val="3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un onglet « Fonctionnement et activités ». </w:t>
      </w:r>
    </w:p>
    <w:p w:rsidR="00603F91" w:rsidRDefault="00793841">
      <w:pPr>
        <w:pStyle w:val="Titre2"/>
        <w:jc w:val="both"/>
        <w:rPr>
          <w:rFonts w:ascii="Verdana" w:hAnsi="Verdana"/>
          <w:b w:val="0"/>
          <w:bCs/>
          <w:i w:val="0"/>
          <w:iCs/>
          <w:sz w:val="22"/>
          <w:szCs w:val="22"/>
        </w:rPr>
      </w:pPr>
      <w:r>
        <w:rPr>
          <w:rFonts w:ascii="Verdana" w:hAnsi="Verdana"/>
          <w:b w:val="0"/>
          <w:bCs/>
          <w:i w:val="0"/>
          <w:iCs/>
          <w:sz w:val="22"/>
          <w:szCs w:val="22"/>
        </w:rPr>
        <w:t xml:space="preserve">2.1. Comptes annuels </w:t>
      </w:r>
    </w:p>
    <w:p w:rsidR="00603F91" w:rsidRDefault="00603F91">
      <w:pPr>
        <w:jc w:val="both"/>
        <w:rPr>
          <w:rFonts w:ascii="Verdana" w:hAnsi="Verdana"/>
        </w:rPr>
      </w:pPr>
    </w:p>
    <w:p w:rsidR="00603F91" w:rsidRDefault="00793841">
      <w:pPr>
        <w:numPr>
          <w:ilvl w:val="0"/>
          <w:numId w:val="40"/>
        </w:numPr>
        <w:ind w:left="708"/>
        <w:jc w:val="both"/>
        <w:rPr>
          <w:rFonts w:ascii="Verdana" w:hAnsi="Verdana"/>
          <w:color w:val="FF0000"/>
        </w:rPr>
      </w:pPr>
      <w:r>
        <w:rPr>
          <w:rFonts w:ascii="Verdana" w:hAnsi="Verdana"/>
          <w:b/>
        </w:rPr>
        <w:t>Comptabilité « simplifiée »</w:t>
      </w:r>
      <w:r>
        <w:rPr>
          <w:rFonts w:ascii="Verdana" w:hAnsi="Verdana"/>
        </w:rPr>
        <w:t xml:space="preserve"> : à remplir dans le cas où la comptabilité n’est pas tenue en partie double. </w:t>
      </w:r>
    </w:p>
    <w:p w:rsidR="00603F91" w:rsidRDefault="00603F91">
      <w:pPr>
        <w:ind w:left="708"/>
        <w:jc w:val="both"/>
        <w:rPr>
          <w:rFonts w:ascii="Verdana" w:hAnsi="Verdana"/>
          <w:color w:val="FF0000"/>
        </w:rPr>
      </w:pPr>
    </w:p>
    <w:p w:rsidR="00603F91" w:rsidRDefault="007938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Elle se compose de deux colonnes : dépenses et recettes. </w:t>
      </w:r>
    </w:p>
    <w:p w:rsidR="00603F91" w:rsidRDefault="00603F91">
      <w:pPr>
        <w:ind w:left="708"/>
        <w:jc w:val="both"/>
        <w:rPr>
          <w:rFonts w:ascii="Verdana" w:hAnsi="Verdana"/>
        </w:rPr>
      </w:pPr>
    </w:p>
    <w:p w:rsidR="00603F91" w:rsidRDefault="00793841">
      <w:pPr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DEPENSES</w:t>
      </w:r>
    </w:p>
    <w:p w:rsidR="00603F91" w:rsidRDefault="00793841">
      <w:pPr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Marchandises et services : achats de marchandises et de services nécessaires à l’activité sociale ou destinés à la revente. 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>Rémunérations : rémunérations et charges sociales des personnes sous contrat de travail.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>Services et biens divers : charges afférentes à des services prestés ou à des biens livrés par des tiers. Exemples : loyer, fournitures d’énergie, frais administratifs, fournitures de bureau, entretien et réparation, publicité, frais de réception, honoraires d’avocat, secrétariat social, comptable, …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>Autres dépenses : dépenses qui n’ont pas été reprises dans les rubriques précédentes comme les charges financières, les biens d’investissement, les dépenses exceptionnelles,…</w:t>
      </w:r>
    </w:p>
    <w:p w:rsidR="00603F91" w:rsidRDefault="00603F91">
      <w:pPr>
        <w:ind w:left="708"/>
        <w:jc w:val="both"/>
        <w:rPr>
          <w:rFonts w:ascii="Verdana" w:hAnsi="Verdana"/>
        </w:rPr>
      </w:pPr>
    </w:p>
    <w:p w:rsidR="00603F91" w:rsidRDefault="00793841">
      <w:pPr>
        <w:ind w:left="708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RECETTES</w:t>
      </w:r>
    </w:p>
    <w:p w:rsidR="00603F91" w:rsidRDefault="00603F91">
      <w:pPr>
        <w:ind w:left="708"/>
        <w:jc w:val="both"/>
        <w:rPr>
          <w:rFonts w:ascii="Verdana" w:hAnsi="Verdana"/>
        </w:rPr>
      </w:pP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Cotisations : versements des membres associés et adhérents 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Dons et legs : donations et legs en espèces ou en nature 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Subsides reçus : subsides versés par une autorité déterminée ou par une autre institution non lucrative </w:t>
      </w:r>
    </w:p>
    <w:p w:rsidR="00603F91" w:rsidRDefault="00793841">
      <w:pPr>
        <w:numPr>
          <w:ilvl w:val="1"/>
          <w:numId w:val="41"/>
        </w:numPr>
        <w:jc w:val="both"/>
        <w:rPr>
          <w:rFonts w:ascii="Verdana" w:hAnsi="Verdana"/>
        </w:rPr>
      </w:pPr>
      <w:r>
        <w:rPr>
          <w:rFonts w:ascii="Verdana" w:hAnsi="Verdana"/>
        </w:rPr>
        <w:t>Autres recettes : recettes qui n’ont pas été reprises dans les rubriques précédentes et qui proviennent de l’activité ordinaire et extraordinaire de l’association.</w:t>
      </w:r>
    </w:p>
    <w:p w:rsidR="00603F91" w:rsidRDefault="00793841">
      <w:pPr>
        <w:numPr>
          <w:ilvl w:val="0"/>
          <w:numId w:val="40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Comptabilité « en partie double »</w:t>
      </w:r>
      <w:r>
        <w:rPr>
          <w:rFonts w:ascii="Verdana" w:hAnsi="Verdana"/>
        </w:rPr>
        <w:t xml:space="preserve"> : à remplir dans le cas où la comptabilité est tenue en partie double. Il s’agit de compléter le bilan et le compte de résultats. </w:t>
      </w:r>
    </w:p>
    <w:p w:rsidR="00603F91" w:rsidRDefault="00603F91">
      <w:pPr>
        <w:ind w:left="708"/>
        <w:jc w:val="both"/>
        <w:rPr>
          <w:rFonts w:ascii="Verdana" w:hAnsi="Verdana"/>
          <w:b/>
        </w:rPr>
      </w:pPr>
    </w:p>
    <w:p w:rsidR="00603F91" w:rsidRDefault="007938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Il est demandé de joindre au rapport financier, les « comptes annuels 202</w:t>
      </w:r>
      <w:r w:rsidR="008B2BDE">
        <w:rPr>
          <w:rFonts w:ascii="Verdana" w:hAnsi="Verdana"/>
        </w:rPr>
        <w:t>2</w:t>
      </w:r>
      <w:r>
        <w:rPr>
          <w:rFonts w:ascii="Verdana" w:hAnsi="Verdana"/>
        </w:rPr>
        <w:t xml:space="preserve"> » tels que transmis au greffe du tribunal de commerce ou à la Banque nationale. Pour les ASBL qui tiennent une comptabilité simplifiée, il est demandé de joindre u</w:t>
      </w:r>
      <w:bookmarkStart w:id="0" w:name="_GoBack"/>
      <w:bookmarkEnd w:id="0"/>
      <w:r>
        <w:rPr>
          <w:rFonts w:ascii="Verdana" w:hAnsi="Verdana"/>
        </w:rPr>
        <w:t xml:space="preserve">ne copie l’état du patrimoine. </w:t>
      </w:r>
    </w:p>
    <w:p w:rsidR="00603F91" w:rsidRDefault="00603F91">
      <w:pPr>
        <w:ind w:left="708"/>
        <w:jc w:val="both"/>
        <w:rPr>
          <w:rFonts w:ascii="Verdana" w:hAnsi="Verdana"/>
        </w:rPr>
      </w:pPr>
    </w:p>
    <w:p w:rsidR="00603F91" w:rsidRDefault="00603F91">
      <w:pPr>
        <w:jc w:val="both"/>
        <w:rPr>
          <w:rFonts w:ascii="Verdana" w:hAnsi="Verdana"/>
        </w:rPr>
      </w:pPr>
    </w:p>
    <w:p w:rsidR="00603F91" w:rsidRDefault="00793841">
      <w:pPr>
        <w:pStyle w:val="Titre2"/>
        <w:rPr>
          <w:rFonts w:ascii="Verdana" w:hAnsi="Verdana"/>
          <w:b w:val="0"/>
          <w:bCs/>
          <w:i w:val="0"/>
          <w:iCs/>
          <w:sz w:val="22"/>
          <w:szCs w:val="22"/>
        </w:rPr>
      </w:pPr>
      <w:r>
        <w:rPr>
          <w:rFonts w:ascii="Verdana" w:hAnsi="Verdana"/>
          <w:b w:val="0"/>
          <w:bCs/>
          <w:i w:val="0"/>
          <w:iCs/>
          <w:sz w:val="22"/>
          <w:szCs w:val="22"/>
        </w:rPr>
        <w:t>2.2</w:t>
      </w:r>
      <w:r>
        <w:rPr>
          <w:rFonts w:ascii="Verdana" w:hAnsi="Verdana"/>
          <w:b w:val="0"/>
          <w:bCs/>
          <w:i w:val="0"/>
          <w:iCs/>
          <w:sz w:val="22"/>
          <w:szCs w:val="22"/>
        </w:rPr>
        <w:tab/>
        <w:t xml:space="preserve">Fonctionnement et activités </w:t>
      </w:r>
    </w:p>
    <w:p w:rsidR="00603F91" w:rsidRDefault="00793841">
      <w:pPr>
        <w:ind w:left="360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La subvention de fonctionnement et d’activités peut être utilisée pour des dépenses qui permettent  la réalisation du plan de développement :</w:t>
      </w:r>
    </w:p>
    <w:p w:rsidR="00603F91" w:rsidRDefault="00603F91">
      <w:pPr>
        <w:ind w:left="360"/>
        <w:rPr>
          <w:rFonts w:ascii="Verdana" w:hAnsi="Verdana"/>
          <w:lang w:val="fr-BE"/>
        </w:rPr>
      </w:pPr>
    </w:p>
    <w:p w:rsidR="00603F91" w:rsidRDefault="00793841">
      <w:pPr>
        <w:numPr>
          <w:ilvl w:val="0"/>
          <w:numId w:val="44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Paiement d’un personnel supplémentaire engagé dans le cadre du PQD dans la mesure où son temps de travail n’est déjà pas financé dans le cadre de la Subvention « Emploi  » ; </w:t>
      </w:r>
    </w:p>
    <w:p w:rsidR="00603F91" w:rsidRDefault="00793841">
      <w:pPr>
        <w:numPr>
          <w:ilvl w:val="0"/>
          <w:numId w:val="44"/>
        </w:numPr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  Les frais d’animation, de communication, de catalogue collectif, de maintenance informatique, de formation continuée, de fournitures et matériel de bureau, ou encore de téléphone et internet ou </w:t>
      </w:r>
      <w:proofErr w:type="spellStart"/>
      <w:r>
        <w:rPr>
          <w:rFonts w:ascii="Verdana" w:hAnsi="Verdana"/>
          <w:lang w:val="fr-BE"/>
        </w:rPr>
        <w:t>Reprobel</w:t>
      </w:r>
      <w:proofErr w:type="spellEnd"/>
      <w:r>
        <w:rPr>
          <w:rFonts w:ascii="Verdana" w:hAnsi="Verdana"/>
          <w:lang w:val="fr-BE"/>
        </w:rPr>
        <w:t xml:space="preserve"> sont admissibles ;</w:t>
      </w:r>
    </w:p>
    <w:p w:rsidR="00603F91" w:rsidRDefault="00793841">
      <w:pPr>
        <w:numPr>
          <w:ilvl w:val="0"/>
          <w:numId w:val="44"/>
        </w:numPr>
        <w:rPr>
          <w:rFonts w:ascii="Verdana" w:hAnsi="Verdana"/>
          <w:lang w:val="fr-BE"/>
        </w:rPr>
      </w:pPr>
      <w:r>
        <w:rPr>
          <w:rFonts w:ascii="Verdana" w:hAnsi="Verdana"/>
        </w:rPr>
        <w:t xml:space="preserve">  Les intérêts bancaires liés à des emprunts faits en raison d’une réception tardive des subventions émanant de la Communauté française peuvent servir à la justification de la subvention de fonctionnement et d’activités.</w:t>
      </w:r>
    </w:p>
    <w:p w:rsidR="00603F91" w:rsidRDefault="00603F91">
      <w:pPr>
        <w:ind w:left="360"/>
        <w:rPr>
          <w:rFonts w:ascii="Verdana" w:hAnsi="Verdana"/>
          <w:bCs/>
        </w:rPr>
      </w:pPr>
    </w:p>
    <w:p w:rsidR="00603F91" w:rsidRDefault="00793841">
      <w:pPr>
        <w:ind w:left="360"/>
        <w:rPr>
          <w:rFonts w:ascii="Verdana" w:hAnsi="Verdana"/>
        </w:rPr>
      </w:pPr>
      <w:r>
        <w:rPr>
          <w:rFonts w:ascii="Verdana" w:hAnsi="Verdana"/>
          <w:bCs/>
        </w:rPr>
        <w:t>Elle ne peut toutefois pas servir à justifier des dépenses</w:t>
      </w:r>
      <w:r>
        <w:rPr>
          <w:rFonts w:ascii="Verdana" w:hAnsi="Verdana"/>
        </w:rPr>
        <w:t> :</w:t>
      </w:r>
    </w:p>
    <w:p w:rsidR="00603F91" w:rsidRDefault="00603F91">
      <w:pPr>
        <w:ind w:left="360"/>
        <w:rPr>
          <w:rFonts w:ascii="Verdana" w:hAnsi="Verdana"/>
          <w:lang w:val="fr-BE"/>
        </w:rPr>
      </w:pPr>
    </w:p>
    <w:p w:rsidR="00603F91" w:rsidRDefault="00793841">
      <w:pPr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qui doivent être prises en charge par ailleurs (accroissement annuel des ressources documentaires) ;</w:t>
      </w:r>
    </w:p>
    <w:p w:rsidR="00603F91" w:rsidRDefault="00793841">
      <w:pPr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liées à de l’investissement ou à de l’immobilisation de biens ;</w:t>
      </w:r>
    </w:p>
    <w:p w:rsidR="00603F91" w:rsidRDefault="00793841">
      <w:pPr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liées aux charges du bâtiment (électricité, chauffage, aménagement et entretien, assurance etc.).</w:t>
      </w:r>
    </w:p>
    <w:p w:rsidR="00603F91" w:rsidRDefault="00603F91">
      <w:pPr>
        <w:ind w:left="360"/>
        <w:rPr>
          <w:rFonts w:ascii="Verdana" w:hAnsi="Verdana"/>
        </w:rPr>
      </w:pPr>
    </w:p>
    <w:p w:rsidR="00603F91" w:rsidRDefault="00793841">
      <w:pPr>
        <w:ind w:left="360"/>
        <w:rPr>
          <w:rFonts w:ascii="Verdana" w:hAnsi="Verdana"/>
        </w:rPr>
      </w:pPr>
      <w:r>
        <w:rPr>
          <w:rFonts w:ascii="Verdana" w:hAnsi="Verdana"/>
          <w:u w:val="single"/>
        </w:rPr>
        <w:t>Remarque </w:t>
      </w:r>
      <w:r>
        <w:rPr>
          <w:rFonts w:ascii="Verdana" w:hAnsi="Verdana"/>
        </w:rPr>
        <w:t>:</w:t>
      </w:r>
    </w:p>
    <w:p w:rsidR="00603F91" w:rsidRDefault="00603F91">
      <w:pPr>
        <w:ind w:left="360"/>
        <w:rPr>
          <w:rFonts w:ascii="Verdana" w:hAnsi="Verdana"/>
        </w:rPr>
      </w:pPr>
    </w:p>
    <w:p w:rsidR="00603F91" w:rsidRDefault="00793841">
      <w:pPr>
        <w:ind w:left="360"/>
        <w:rPr>
          <w:rFonts w:ascii="Verdana" w:hAnsi="Verdana"/>
        </w:rPr>
      </w:pPr>
      <w:r>
        <w:rPr>
          <w:rFonts w:ascii="Verdana" w:hAnsi="Verdana"/>
        </w:rPr>
        <w:t>Ne sont pas considérées comme des dépenses d’investissement celles qui n’excèdent pas 500 € et qui sont isolées </w:t>
      </w:r>
      <w:r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Vous pouvez justifier la subvention par l’acquisition d’un appareil photo de 400 € si vous en avez acheté un seul, pas cinq.</w:t>
      </w:r>
    </w:p>
    <w:p w:rsidR="00603F91" w:rsidRDefault="00603F91">
      <w:pPr>
        <w:ind w:left="360"/>
        <w:rPr>
          <w:rFonts w:ascii="Verdana" w:hAnsi="Verdana"/>
        </w:rPr>
      </w:pPr>
    </w:p>
    <w:p w:rsidR="00603F91" w:rsidRDefault="00793841">
      <w:pPr>
        <w:ind w:left="360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03F91" w:rsidRDefault="00603F91">
      <w:pPr>
        <w:ind w:left="360"/>
        <w:rPr>
          <w:rFonts w:ascii="Verdana" w:hAnsi="Verdana"/>
        </w:rPr>
      </w:pPr>
    </w:p>
    <w:p w:rsidR="00603F91" w:rsidRDefault="00603F91">
      <w:pPr>
        <w:ind w:left="360"/>
        <w:rPr>
          <w:rFonts w:ascii="Verdana" w:hAnsi="Verdana"/>
        </w:rPr>
      </w:pPr>
    </w:p>
    <w:p w:rsidR="00603F91" w:rsidRDefault="00793841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  <w:i/>
          <w:u w:val="single"/>
        </w:rPr>
        <w:t>Pour l’emploi</w:t>
      </w:r>
      <w:r>
        <w:rPr>
          <w:rFonts w:ascii="Verdana" w:hAnsi="Verdana"/>
        </w:rPr>
        <w:t xml:space="preserve"> : joindre un compte individuel patronal. </w:t>
      </w:r>
    </w:p>
    <w:p w:rsidR="00603F91" w:rsidRDefault="00603F91">
      <w:pPr>
        <w:ind w:left="360"/>
        <w:rPr>
          <w:rFonts w:ascii="Verdana" w:hAnsi="Verdana"/>
        </w:rPr>
      </w:pPr>
    </w:p>
    <w:p w:rsidR="00603F91" w:rsidRDefault="00793841">
      <w:pPr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  <w:i/>
          <w:u w:val="single"/>
        </w:rPr>
        <w:t>Pour les autres dépenses</w:t>
      </w:r>
      <w:r>
        <w:rPr>
          <w:rFonts w:ascii="Verdana" w:hAnsi="Verdana"/>
        </w:rPr>
        <w:t xml:space="preserve"> : joindre un extrait du grand livre comptable </w:t>
      </w:r>
      <w:r>
        <w:rPr>
          <w:rFonts w:ascii="Verdana" w:hAnsi="Verdana"/>
          <w:b/>
        </w:rPr>
        <w:t>en identifiant clairement (</w:t>
      </w:r>
      <w:proofErr w:type="spellStart"/>
      <w:r>
        <w:rPr>
          <w:rFonts w:ascii="Verdana" w:hAnsi="Verdana"/>
          <w:b/>
        </w:rPr>
        <w:t>stabilo</w:t>
      </w:r>
      <w:proofErr w:type="spellEnd"/>
      <w:r>
        <w:rPr>
          <w:rFonts w:ascii="Verdana" w:hAnsi="Verdana"/>
          <w:b/>
        </w:rPr>
        <w:t xml:space="preserve">) les charges </w:t>
      </w:r>
      <w:r>
        <w:rPr>
          <w:rFonts w:ascii="Verdana" w:hAnsi="Verdana"/>
        </w:rPr>
        <w:t xml:space="preserve">présentées pour la justification de la subvention. </w:t>
      </w:r>
    </w:p>
    <w:p w:rsidR="00603F91" w:rsidRDefault="00603F91">
      <w:pPr>
        <w:rPr>
          <w:rFonts w:ascii="Verdana" w:hAnsi="Verdana"/>
        </w:rPr>
      </w:pPr>
    </w:p>
    <w:p w:rsidR="00603F91" w:rsidRDefault="0079384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Il est également possible de joindre les factures (et preuves de paiement de celles-ci) servant à la justification de la subvention, </w:t>
      </w:r>
      <w:r>
        <w:rPr>
          <w:rFonts w:ascii="Verdana" w:hAnsi="Verdana"/>
          <w:b/>
        </w:rPr>
        <w:t>classées et ordonnées accompagnées d’un tableau récapitulatif des dépenses</w:t>
      </w:r>
      <w:r>
        <w:rPr>
          <w:rFonts w:ascii="Verdana" w:hAnsi="Verdana"/>
        </w:rPr>
        <w:t xml:space="preserve">. Le tableau récapitulatif se trouve sous l’onglet « Frais de fonctionnement ». </w:t>
      </w:r>
    </w:p>
    <w:p w:rsidR="00603F91" w:rsidRDefault="00603F91">
      <w:pPr>
        <w:ind w:left="360"/>
        <w:jc w:val="both"/>
        <w:rPr>
          <w:rFonts w:ascii="Verdana" w:hAnsi="Verdana"/>
        </w:rPr>
      </w:pPr>
    </w:p>
    <w:p w:rsidR="00603F91" w:rsidRDefault="00793841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noProof/>
          <w:lang w:val="fr-BE" w:eastAsia="fr-BE"/>
        </w:rPr>
        <w:drawing>
          <wp:inline distT="0" distB="0" distL="0" distR="0">
            <wp:extent cx="5895975" cy="137223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7223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F91" w:rsidRDefault="00603F91">
      <w:pPr>
        <w:ind w:left="360"/>
        <w:jc w:val="both"/>
        <w:rPr>
          <w:rFonts w:ascii="Verdana" w:hAnsi="Verdana"/>
        </w:rPr>
      </w:pPr>
    </w:p>
    <w:p w:rsidR="00603F91" w:rsidRDefault="00793841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6515100" cy="4229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val="fr-BE" w:eastAsia="fr-BE"/>
        </w:rPr>
        <mc:AlternateContent>
          <mc:Choice Requires="wpc">
            <w:drawing>
              <wp:inline distT="0" distB="0" distL="0" distR="0">
                <wp:extent cx="5238750" cy="2943225"/>
                <wp:effectExtent l="0" t="0" r="2540" b="2540"/>
                <wp:docPr id="7" name="Zone de dessi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Zone de dessin 7" o:spid="_x0000_s1026" editas="canvas" style="width:412.5pt;height:231.75pt;mso-position-horizontal-relative:char;mso-position-vertical-relative:line" coordsize="52387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KMge0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87;height:294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03F91" w:rsidRDefault="00603F91">
      <w:pPr>
        <w:ind w:left="360"/>
        <w:jc w:val="both"/>
        <w:rPr>
          <w:rFonts w:ascii="Verdana" w:hAnsi="Verdana"/>
        </w:rPr>
      </w:pPr>
    </w:p>
    <w:p w:rsidR="00603F91" w:rsidRDefault="00603F91">
      <w:pPr>
        <w:rPr>
          <w:rFonts w:ascii="Verdana" w:hAnsi="Verdana"/>
        </w:rPr>
      </w:pPr>
    </w:p>
    <w:p w:rsidR="00603F91" w:rsidRDefault="007938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03F91" w:rsidRDefault="00603F91">
      <w:pPr>
        <w:ind w:left="708"/>
        <w:jc w:val="both"/>
        <w:rPr>
          <w:rFonts w:ascii="Verdana" w:hAnsi="Verdana"/>
          <w:sz w:val="28"/>
          <w:szCs w:val="28"/>
        </w:rPr>
      </w:pPr>
    </w:p>
    <w:p w:rsidR="00603F91" w:rsidRDefault="00793841">
      <w:pPr>
        <w:pStyle w:val="Paragraphedeliste"/>
        <w:numPr>
          <w:ilvl w:val="0"/>
          <w:numId w:val="40"/>
        </w:numPr>
        <w:tabs>
          <w:tab w:val="clear" w:pos="1065"/>
          <w:tab w:val="num" w:pos="426"/>
        </w:tabs>
        <w:ind w:hanging="106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Annexes à joindre au rapport </w:t>
      </w:r>
    </w:p>
    <w:p w:rsidR="00603F91" w:rsidRDefault="00603F91">
      <w:pPr>
        <w:ind w:left="708"/>
        <w:jc w:val="both"/>
        <w:rPr>
          <w:rFonts w:ascii="Verdana" w:hAnsi="Verdana"/>
          <w:sz w:val="28"/>
          <w:szCs w:val="28"/>
        </w:rPr>
      </w:pPr>
    </w:p>
    <w:p w:rsidR="00603F91" w:rsidRDefault="00793841">
      <w:pPr>
        <w:pStyle w:val="Paragraphedeliste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Les comptes individuels patronaux pour le personnel dont le salaire sert à justifier la subvention de fonctionnement </w:t>
      </w:r>
    </w:p>
    <w:p w:rsidR="00603F91" w:rsidRDefault="00793841">
      <w:pPr>
        <w:pStyle w:val="Paragraphedeliste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>Le grand Livre des dépenses en ayant pris soin d’indiquer (</w:t>
      </w:r>
      <w:proofErr w:type="spellStart"/>
      <w:r>
        <w:rPr>
          <w:rFonts w:ascii="Verdana" w:hAnsi="Verdana"/>
        </w:rPr>
        <w:t>stabilo</w:t>
      </w:r>
      <w:proofErr w:type="spellEnd"/>
      <w:r>
        <w:rPr>
          <w:rFonts w:ascii="Verdana" w:hAnsi="Verdana"/>
        </w:rPr>
        <w:t xml:space="preserve">) les dépenses à prendre en compte pour la justification des dépenses de fonctionnement ou les copies des factures et des preuves de paiement de celles-ci.  </w:t>
      </w:r>
    </w:p>
    <w:p w:rsidR="00603F91" w:rsidRDefault="00603F91">
      <w:pPr>
        <w:ind w:left="372" w:firstLine="348"/>
        <w:jc w:val="both"/>
        <w:rPr>
          <w:rFonts w:ascii="Verdana" w:hAnsi="Verdana"/>
        </w:rPr>
      </w:pPr>
    </w:p>
    <w:p w:rsidR="00603F91" w:rsidRDefault="00603F91">
      <w:pPr>
        <w:ind w:left="372" w:firstLine="348"/>
        <w:jc w:val="both"/>
        <w:rPr>
          <w:rFonts w:ascii="Verdana" w:hAnsi="Verdana"/>
        </w:rPr>
      </w:pPr>
    </w:p>
    <w:p w:rsidR="00603F91" w:rsidRDefault="00793841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Vérifications à effectuer avant envoi du rapport au Service de la Lecture publique </w:t>
      </w:r>
    </w:p>
    <w:p w:rsidR="00603F91" w:rsidRDefault="00603F91">
      <w:pPr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603F91">
        <w:tc>
          <w:tcPr>
            <w:tcW w:w="4786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03F91" w:rsidRDefault="00793841">
            <w:pPr>
              <w:spacing w:after="200" w:line="276" w:lineRule="auto"/>
              <w:ind w:left="-108" w:firstLine="332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Transmis papier </w:t>
            </w:r>
          </w:p>
        </w:tc>
        <w:tc>
          <w:tcPr>
            <w:tcW w:w="2300" w:type="dxa"/>
            <w:shd w:val="clear" w:color="auto" w:fill="auto"/>
          </w:tcPr>
          <w:p w:rsidR="00603F91" w:rsidRDefault="0079384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Transmis copie informatique </w:t>
            </w:r>
          </w:p>
        </w:tc>
      </w:tr>
      <w:tr w:rsidR="00603F91">
        <w:tc>
          <w:tcPr>
            <w:tcW w:w="4786" w:type="dxa"/>
            <w:shd w:val="clear" w:color="auto" w:fill="auto"/>
          </w:tcPr>
          <w:p w:rsidR="00603F91" w:rsidRDefault="0079384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PERSONNEL  </w:t>
            </w:r>
          </w:p>
        </w:tc>
        <w:tc>
          <w:tcPr>
            <w:tcW w:w="2126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</w:tr>
      <w:tr w:rsidR="00603F91">
        <w:tc>
          <w:tcPr>
            <w:tcW w:w="4786" w:type="dxa"/>
            <w:shd w:val="clear" w:color="auto" w:fill="auto"/>
          </w:tcPr>
          <w:p w:rsidR="00603F91" w:rsidRDefault="007938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Copie du diplôme, PV jury (sauf si déjà transmis précédemment) y compris pour le personnel remplaçant </w:t>
            </w:r>
          </w:p>
        </w:tc>
        <w:tc>
          <w:tcPr>
            <w:tcW w:w="2126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</w:tr>
      <w:tr w:rsidR="00603F91">
        <w:tc>
          <w:tcPr>
            <w:tcW w:w="4786" w:type="dxa"/>
            <w:shd w:val="clear" w:color="auto" w:fill="auto"/>
          </w:tcPr>
          <w:p w:rsidR="00603F91" w:rsidRDefault="0079384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  <w:t xml:space="preserve">COMPTABILITE </w:t>
            </w:r>
          </w:p>
        </w:tc>
        <w:tc>
          <w:tcPr>
            <w:tcW w:w="2126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</w:tr>
      <w:tr w:rsidR="00603F91">
        <w:tc>
          <w:tcPr>
            <w:tcW w:w="4786" w:type="dxa"/>
            <w:shd w:val="clear" w:color="auto" w:fill="auto"/>
          </w:tcPr>
          <w:p w:rsidR="00603F91" w:rsidRDefault="0079384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Les comptes annuels 2021 tels que transmis au greffe du tribunal de commerce ou à la Banque nationale </w:t>
            </w:r>
          </w:p>
        </w:tc>
        <w:tc>
          <w:tcPr>
            <w:tcW w:w="2126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  <w:tc>
          <w:tcPr>
            <w:tcW w:w="2300" w:type="dxa"/>
            <w:shd w:val="clear" w:color="auto" w:fill="auto"/>
          </w:tcPr>
          <w:p w:rsidR="00603F91" w:rsidRDefault="00603F9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fr-BE" w:eastAsia="en-US"/>
              </w:rPr>
            </w:pPr>
          </w:p>
        </w:tc>
      </w:tr>
    </w:tbl>
    <w:p w:rsidR="00603F91" w:rsidRDefault="00603F91">
      <w:pPr>
        <w:jc w:val="both"/>
        <w:rPr>
          <w:rFonts w:ascii="Verdana" w:hAnsi="Verdana"/>
        </w:rPr>
      </w:pPr>
    </w:p>
    <w:p w:rsidR="00603F91" w:rsidRDefault="00603F91">
      <w:pPr>
        <w:jc w:val="both"/>
        <w:rPr>
          <w:rFonts w:ascii="Verdana" w:hAnsi="Verdana"/>
        </w:rPr>
      </w:pPr>
    </w:p>
    <w:p w:rsidR="00603F91" w:rsidRDefault="00603F91">
      <w:pPr>
        <w:spacing w:after="200" w:line="276" w:lineRule="auto"/>
        <w:rPr>
          <w:rFonts w:ascii="Verdana" w:hAnsi="Verdana"/>
          <w:color w:val="FF0000"/>
        </w:rPr>
      </w:pPr>
    </w:p>
    <w:sectPr w:rsidR="00603F91">
      <w:footerReference w:type="even" r:id="rId11"/>
      <w:footerReference w:type="default" r:id="rId12"/>
      <w:pgSz w:w="11906" w:h="16838" w:code="9"/>
      <w:pgMar w:top="851" w:right="851" w:bottom="1134" w:left="851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76" w:rsidRDefault="00215476">
      <w:r>
        <w:separator/>
      </w:r>
    </w:p>
  </w:endnote>
  <w:endnote w:type="continuationSeparator" w:id="0">
    <w:p w:rsidR="00215476" w:rsidRDefault="0021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1" w:rsidRDefault="007938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3F91" w:rsidRDefault="00603F9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74725"/>
      <w:docPartObj>
        <w:docPartGallery w:val="Page Numbers (Bottom of Page)"/>
        <w:docPartUnique/>
      </w:docPartObj>
    </w:sdtPr>
    <w:sdtEndPr/>
    <w:sdtContent>
      <w:p w:rsidR="00603F91" w:rsidRDefault="00793841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DE">
          <w:rPr>
            <w:noProof/>
          </w:rPr>
          <w:t>3</w:t>
        </w:r>
        <w:r>
          <w:fldChar w:fldCharType="end"/>
        </w:r>
      </w:p>
    </w:sdtContent>
  </w:sdt>
  <w:p w:rsidR="00603F91" w:rsidRDefault="00603F9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76" w:rsidRDefault="00215476">
      <w:r>
        <w:separator/>
      </w:r>
    </w:p>
  </w:footnote>
  <w:footnote w:type="continuationSeparator" w:id="0">
    <w:p w:rsidR="00215476" w:rsidRDefault="0021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B3B"/>
    <w:multiLevelType w:val="hybridMultilevel"/>
    <w:tmpl w:val="E85CC6EE"/>
    <w:lvl w:ilvl="0" w:tplc="EA6AAD5A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092B47"/>
    <w:multiLevelType w:val="hybridMultilevel"/>
    <w:tmpl w:val="D5A4A088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CC4"/>
    <w:multiLevelType w:val="singleLevel"/>
    <w:tmpl w:val="628024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abstractNum w:abstractNumId="3" w15:restartNumberingAfterBreak="0">
    <w:nsid w:val="061A50EC"/>
    <w:multiLevelType w:val="hybridMultilevel"/>
    <w:tmpl w:val="EAE61910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7228"/>
    <w:multiLevelType w:val="hybridMultilevel"/>
    <w:tmpl w:val="58B8F08E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663C1"/>
    <w:multiLevelType w:val="hybridMultilevel"/>
    <w:tmpl w:val="D5A4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736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047AC1"/>
    <w:multiLevelType w:val="hybridMultilevel"/>
    <w:tmpl w:val="00F4E4E2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365B"/>
    <w:multiLevelType w:val="hybridMultilevel"/>
    <w:tmpl w:val="E3EC6174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C17AD8B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F08"/>
    <w:multiLevelType w:val="hybridMultilevel"/>
    <w:tmpl w:val="7BA610B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666709"/>
    <w:multiLevelType w:val="hybridMultilevel"/>
    <w:tmpl w:val="00A4DDC2"/>
    <w:lvl w:ilvl="0" w:tplc="124A1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207E"/>
    <w:multiLevelType w:val="hybridMultilevel"/>
    <w:tmpl w:val="A0A431C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9F751CD"/>
    <w:multiLevelType w:val="hybridMultilevel"/>
    <w:tmpl w:val="E67A5D84"/>
    <w:lvl w:ilvl="0" w:tplc="0F964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2480"/>
    <w:multiLevelType w:val="multilevel"/>
    <w:tmpl w:val="C04A8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D46D1C"/>
    <w:multiLevelType w:val="hybridMultilevel"/>
    <w:tmpl w:val="54DABAEE"/>
    <w:lvl w:ilvl="0" w:tplc="C17AD8B2">
      <w:start w:val="1"/>
      <w:numFmt w:val="bullet"/>
      <w:lvlText w:val="-"/>
      <w:lvlJc w:val="left"/>
      <w:pPr>
        <w:ind w:left="1782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 w15:restartNumberingAfterBreak="0">
    <w:nsid w:val="2B6D2D84"/>
    <w:multiLevelType w:val="hybridMultilevel"/>
    <w:tmpl w:val="D2BC01A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B20F3"/>
    <w:multiLevelType w:val="hybridMultilevel"/>
    <w:tmpl w:val="DBD2B020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23E78"/>
    <w:multiLevelType w:val="hybridMultilevel"/>
    <w:tmpl w:val="93C47530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10665"/>
    <w:multiLevelType w:val="hybridMultilevel"/>
    <w:tmpl w:val="0F626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6CA"/>
    <w:multiLevelType w:val="hybridMultilevel"/>
    <w:tmpl w:val="7720AA2C"/>
    <w:lvl w:ilvl="0" w:tplc="C17AD8B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66107"/>
    <w:multiLevelType w:val="hybridMultilevel"/>
    <w:tmpl w:val="3788E606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22C9E"/>
    <w:multiLevelType w:val="hybridMultilevel"/>
    <w:tmpl w:val="CC84956A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0AE7"/>
    <w:multiLevelType w:val="hybridMultilevel"/>
    <w:tmpl w:val="C610E0E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906B7"/>
    <w:multiLevelType w:val="hybridMultilevel"/>
    <w:tmpl w:val="AEE4E73C"/>
    <w:lvl w:ilvl="0" w:tplc="C17AD8B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D6058A"/>
    <w:multiLevelType w:val="singleLevel"/>
    <w:tmpl w:val="7062D7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593D5C"/>
    <w:multiLevelType w:val="hybridMultilevel"/>
    <w:tmpl w:val="71728A9A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7A34"/>
    <w:multiLevelType w:val="hybridMultilevel"/>
    <w:tmpl w:val="04C686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A26A5"/>
    <w:multiLevelType w:val="singleLevel"/>
    <w:tmpl w:val="6452F6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53F9424C"/>
    <w:multiLevelType w:val="hybridMultilevel"/>
    <w:tmpl w:val="32E4B5F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D59F2"/>
    <w:multiLevelType w:val="multilevel"/>
    <w:tmpl w:val="C86C83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9055D84"/>
    <w:multiLevelType w:val="hybridMultilevel"/>
    <w:tmpl w:val="C1649CFA"/>
    <w:lvl w:ilvl="0" w:tplc="7062D71A">
      <w:start w:val="1"/>
      <w:numFmt w:val="bullet"/>
      <w:lvlText w:val="-"/>
      <w:lvlJc w:val="left"/>
      <w:pPr>
        <w:ind w:left="2127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1" w15:restartNumberingAfterBreak="0">
    <w:nsid w:val="5D170357"/>
    <w:multiLevelType w:val="hybridMultilevel"/>
    <w:tmpl w:val="C2D881FA"/>
    <w:lvl w:ilvl="0" w:tplc="C17AD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E4F1F"/>
    <w:multiLevelType w:val="hybridMultilevel"/>
    <w:tmpl w:val="26ACF75A"/>
    <w:lvl w:ilvl="0" w:tplc="7062D7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A14D1A"/>
    <w:multiLevelType w:val="hybridMultilevel"/>
    <w:tmpl w:val="AF54A986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B4DC7"/>
    <w:multiLevelType w:val="multilevel"/>
    <w:tmpl w:val="EF2AD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6B957453"/>
    <w:multiLevelType w:val="hybridMultilevel"/>
    <w:tmpl w:val="7812E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37E7A"/>
    <w:multiLevelType w:val="hybridMultilevel"/>
    <w:tmpl w:val="BFE096B8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925CB"/>
    <w:multiLevelType w:val="hybridMultilevel"/>
    <w:tmpl w:val="D2CC525A"/>
    <w:lvl w:ilvl="0" w:tplc="B79C555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632F7"/>
    <w:multiLevelType w:val="hybridMultilevel"/>
    <w:tmpl w:val="B69AC858"/>
    <w:lvl w:ilvl="0" w:tplc="C17AD8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1F71"/>
    <w:multiLevelType w:val="hybridMultilevel"/>
    <w:tmpl w:val="E6281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A6789"/>
    <w:multiLevelType w:val="hybridMultilevel"/>
    <w:tmpl w:val="8DFC8BCC"/>
    <w:lvl w:ilvl="0" w:tplc="C17AD8B2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9"/>
  </w:num>
  <w:num w:numId="4">
    <w:abstractNumId w:val="2"/>
  </w:num>
  <w:num w:numId="5">
    <w:abstractNumId w:val="6"/>
  </w:num>
  <w:num w:numId="6">
    <w:abstractNumId w:val="27"/>
  </w:num>
  <w:num w:numId="7">
    <w:abstractNumId w:val="34"/>
  </w:num>
  <w:num w:numId="8">
    <w:abstractNumId w:val="31"/>
  </w:num>
  <w:num w:numId="9">
    <w:abstractNumId w:val="5"/>
  </w:num>
  <w:num w:numId="10">
    <w:abstractNumId w:val="36"/>
  </w:num>
  <w:num w:numId="11">
    <w:abstractNumId w:val="17"/>
  </w:num>
  <w:num w:numId="12">
    <w:abstractNumId w:val="14"/>
  </w:num>
  <w:num w:numId="13">
    <w:abstractNumId w:val="8"/>
  </w:num>
  <w:num w:numId="14">
    <w:abstractNumId w:val="40"/>
  </w:num>
  <w:num w:numId="15">
    <w:abstractNumId w:val="22"/>
  </w:num>
  <w:num w:numId="16">
    <w:abstractNumId w:val="11"/>
  </w:num>
  <w:num w:numId="17">
    <w:abstractNumId w:val="0"/>
  </w:num>
  <w:num w:numId="18">
    <w:abstractNumId w:val="10"/>
  </w:num>
  <w:num w:numId="19">
    <w:abstractNumId w:val="18"/>
  </w:num>
  <w:num w:numId="20">
    <w:abstractNumId w:val="12"/>
  </w:num>
  <w:num w:numId="21">
    <w:abstractNumId w:val="39"/>
  </w:num>
  <w:num w:numId="22">
    <w:abstractNumId w:val="26"/>
  </w:num>
  <w:num w:numId="23">
    <w:abstractNumId w:val="37"/>
  </w:num>
  <w:num w:numId="24">
    <w:abstractNumId w:val="1"/>
  </w:num>
  <w:num w:numId="25">
    <w:abstractNumId w:val="35"/>
  </w:num>
  <w:num w:numId="26">
    <w:abstractNumId w:val="33"/>
  </w:num>
  <w:num w:numId="27">
    <w:abstractNumId w:val="4"/>
  </w:num>
  <w:num w:numId="28">
    <w:abstractNumId w:val="16"/>
  </w:num>
  <w:num w:numId="29">
    <w:abstractNumId w:val="9"/>
  </w:num>
  <w:num w:numId="30">
    <w:abstractNumId w:val="25"/>
  </w:num>
  <w:num w:numId="31">
    <w:abstractNumId w:val="15"/>
  </w:num>
  <w:num w:numId="32">
    <w:abstractNumId w:val="28"/>
  </w:num>
  <w:num w:numId="33">
    <w:abstractNumId w:val="21"/>
  </w:num>
  <w:num w:numId="34">
    <w:abstractNumId w:val="38"/>
  </w:num>
  <w:num w:numId="35">
    <w:abstractNumId w:val="3"/>
  </w:num>
  <w:num w:numId="36">
    <w:abstractNumId w:val="23"/>
  </w:num>
  <w:num w:numId="37">
    <w:abstractNumId w:val="20"/>
  </w:num>
  <w:num w:numId="38">
    <w:abstractNumId w:val="7"/>
  </w:num>
  <w:num w:numId="39">
    <w:abstractNumId w:val="19"/>
  </w:num>
  <w:num w:numId="40">
    <w:abstractNumId w:val="2"/>
    <w:lvlOverride w:ilvl="0">
      <w:startOverride w:val="1"/>
    </w:lvlOverride>
  </w:num>
  <w:num w:numId="41">
    <w:abstractNumId w:val="8"/>
  </w:num>
  <w:num w:numId="42">
    <w:abstractNumId w:val="14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91"/>
    <w:rsid w:val="00215476"/>
    <w:rsid w:val="00603F91"/>
    <w:rsid w:val="00793841"/>
    <w:rsid w:val="008B2BDE"/>
    <w:rsid w:val="00E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,"/>
  <w:listSeparator w:val=";"/>
  <w15:docId w15:val="{3BFC4C92-FCE0-4964-92B7-B0BAFE0D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t">
    <w:name w:val="ft"/>
    <w:basedOn w:val="Policepardfaut"/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Pr>
      <w:lang w:val="fr-FR" w:eastAsia="fr-FR"/>
    </w:rPr>
  </w:style>
  <w:style w:type="character" w:styleId="Lienhypertexte">
    <w:name w:val="Hyperlink"/>
    <w:basedOn w:val="Policepardfaut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Pr>
      <w:rFonts w:ascii="Arial" w:hAnsi="Arial"/>
      <w:b/>
      <w:i/>
      <w:sz w:val="24"/>
      <w:lang w:val="fr-FR" w:eastAsia="fr-FR"/>
    </w:rPr>
  </w:style>
  <w:style w:type="paragraph" w:styleId="Rvision">
    <w:name w:val="Revision"/>
    <w:hidden/>
    <w:uiPriority w:val="99"/>
    <w:semiHidden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00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50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998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6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42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99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astre-emploi.cfwb.b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2376-7546-4B61-A3B0-3F21B9A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cfwb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CRUSNA01</dc:creator>
  <cp:lastModifiedBy>CRUSNAIRE Delphine</cp:lastModifiedBy>
  <cp:revision>3</cp:revision>
  <cp:lastPrinted>2019-02-28T08:43:00Z</cp:lastPrinted>
  <dcterms:created xsi:type="dcterms:W3CDTF">2023-02-02T10:22:00Z</dcterms:created>
  <dcterms:modified xsi:type="dcterms:W3CDTF">2023-02-02T10:24:00Z</dcterms:modified>
</cp:coreProperties>
</file>