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ermStart w:id="1373981282" w:edGrp="everyone"/>
    <w:p>
      <w:pPr>
        <w:pStyle w:val="En-tte"/>
        <w:tabs>
          <w:tab w:val="clear" w:pos="4536"/>
          <w:tab w:val="clear" w:pos="9072"/>
        </w:tabs>
        <w:rPr>
          <w:noProof/>
          <w:u w:val="single"/>
        </w:rPr>
      </w:pPr>
      <w:r>
        <w:rPr>
          <w:noProof/>
          <w:lang w:val="fr-BE" w:eastAsia="fr-BE"/>
        </w:rPr>
        <mc:AlternateContent>
          <mc:Choice Requires="wps">
            <w:drawing>
              <wp:anchor distT="0" distB="0" distL="114300" distR="114300" simplePos="0" relativeHeight="251656192" behindDoc="0" locked="0" layoutInCell="0" allowOverlap="1">
                <wp:simplePos x="0" y="0"/>
                <wp:positionH relativeFrom="column">
                  <wp:posOffset>1447800</wp:posOffset>
                </wp:positionH>
                <wp:positionV relativeFrom="paragraph">
                  <wp:posOffset>762000</wp:posOffset>
                </wp:positionV>
                <wp:extent cx="3419475" cy="304800"/>
                <wp:effectExtent l="6985" t="6985" r="31115" b="4064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19475" cy="304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NormalWeb"/>
                              <w:spacing w:before="0" w:beforeAutospacing="0" w:after="0" w:afterAutospacing="0"/>
                              <w:jc w:val="cente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pPr>
                          </w:p>
                          <w:p>
                            <w:pPr>
                              <w:pStyle w:val="NormalWeb"/>
                              <w:spacing w:before="0" w:beforeAutospacing="0" w:after="0" w:afterAutospacing="0"/>
                              <w:jc w:val="cente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pPr>
                          </w:p>
                          <w:p>
                            <w:pPr>
                              <w:pStyle w:val="NormalWeb"/>
                              <w:spacing w:before="0" w:beforeAutospacing="0" w:after="0" w:afterAutospacing="0"/>
                              <w:jc w:val="cente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pPr>
                          </w:p>
                          <w:p>
                            <w:pPr>
                              <w:pStyle w:val="NormalWeb"/>
                              <w:spacing w:before="0" w:beforeAutospacing="0" w:after="0" w:afterAutospacing="0"/>
                              <w:jc w:val="cente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pPr>
                            <w: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t xml:space="preserve">Service de la lecture publique </w:t>
                            </w:r>
                          </w:p>
                          <w:p>
                            <w:pPr>
                              <w:pStyle w:val="NormalWeb"/>
                              <w:spacing w:before="0" w:beforeAutospacing="0" w:after="0" w:afterAutospacing="0"/>
                              <w:jc w:val="cente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pPr>
                          </w:p>
                          <w:p>
                            <w:pPr>
                              <w:pStyle w:val="NormalWeb"/>
                              <w:spacing w:before="0" w:beforeAutospacing="0" w:after="0" w:afterAutospacing="0"/>
                              <w:jc w:val="cente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pPr>
                            <w: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t>Guide du rapport financier</w:t>
                            </w:r>
                          </w:p>
                          <w:p>
                            <w:pPr>
                              <w:pStyle w:val="NormalWeb"/>
                              <w:spacing w:before="0" w:beforeAutospacing="0" w:after="0" w:afterAutospacing="0"/>
                              <w:jc w:val="cente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pPr>
                            <w: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t>(Décret2009)</w:t>
                            </w:r>
                          </w:p>
                          <w:p>
                            <w:pPr>
                              <w:pStyle w:val="NormalWeb"/>
                              <w:spacing w:before="0" w:beforeAutospacing="0" w:after="0" w:afterAutospacing="0"/>
                              <w:jc w:val="cente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pPr>
                            <w: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t>Opérateurs</w:t>
                            </w:r>
                          </w:p>
                          <w:p>
                            <w:pPr>
                              <w:pStyle w:val="NormalWeb"/>
                              <w:spacing w:before="0" w:beforeAutospacing="0" w:after="0" w:afterAutospacing="0"/>
                              <w:jc w:val="cente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pPr>
                            <w: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t xml:space="preserve"> </w:t>
                            </w:r>
                            <w:proofErr w:type="gramStart"/>
                            <w: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t>de</w:t>
                            </w:r>
                            <w:proofErr w:type="gramEnd"/>
                          </w:p>
                          <w:p>
                            <w:pPr>
                              <w:pStyle w:val="NormalWeb"/>
                              <w:spacing w:before="0" w:beforeAutospacing="0" w:after="0" w:afterAutospacing="0"/>
                              <w:jc w:val="cente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pPr>
                            <w: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t xml:space="preserve"> Droit public</w:t>
                            </w:r>
                          </w:p>
                          <w:p>
                            <w:pPr>
                              <w:pStyle w:val="NormalWeb"/>
                              <w:spacing w:before="0" w:beforeAutospacing="0" w:after="0" w:afterAutospacing="0"/>
                              <w:jc w:val="cente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pPr>
                          </w:p>
                          <w:p>
                            <w:pPr>
                              <w:pStyle w:val="NormalWeb"/>
                              <w:spacing w:before="0" w:beforeAutospacing="0" w:after="0" w:afterAutospacing="0"/>
                              <w:jc w:val="cente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pPr>
                          </w:p>
                          <w:p>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114pt;margin-top:60pt;width:269.2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" o:allowincell="f" filled="f" stroked="f">
                <v:stroke joinstyle="round"/>
                <o:lock v:ext="edit" shapetype="t"/>
                <v:textbox style="mso-fit-shape-to-text:t">
                  <w:txbxContent>
                    <w:p>
                      <w:pPr>
                        <w:pStyle w:val="NormalWeb"/>
                        <w:spacing w:before="0" w:beforeAutospacing="0" w:after="0" w:afterAutospacing="0"/>
                        <w:jc w:val="cente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pPr>
                    </w:p>
                    <w:p>
                      <w:pPr>
                        <w:pStyle w:val="NormalWeb"/>
                        <w:spacing w:before="0" w:beforeAutospacing="0" w:after="0" w:afterAutospacing="0"/>
                        <w:jc w:val="cente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pPr>
                    </w:p>
                    <w:p>
                      <w:pPr>
                        <w:pStyle w:val="NormalWeb"/>
                        <w:spacing w:before="0" w:beforeAutospacing="0" w:after="0" w:afterAutospacing="0"/>
                        <w:jc w:val="cente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pPr>
                    </w:p>
                    <w:p>
                      <w:pPr>
                        <w:pStyle w:val="NormalWeb"/>
                        <w:spacing w:before="0" w:beforeAutospacing="0" w:after="0" w:afterAutospacing="0"/>
                        <w:jc w:val="cente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pPr>
                      <w: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t xml:space="preserve">Service de la lecture publique </w:t>
                      </w:r>
                    </w:p>
                    <w:p>
                      <w:pPr>
                        <w:pStyle w:val="NormalWeb"/>
                        <w:spacing w:before="0" w:beforeAutospacing="0" w:after="0" w:afterAutospacing="0"/>
                        <w:jc w:val="cente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pPr>
                    </w:p>
                    <w:p>
                      <w:pPr>
                        <w:pStyle w:val="NormalWeb"/>
                        <w:spacing w:before="0" w:beforeAutospacing="0" w:after="0" w:afterAutospacing="0"/>
                        <w:jc w:val="cente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pPr>
                      <w: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t>Guide du rapport financier</w:t>
                      </w:r>
                    </w:p>
                    <w:p>
                      <w:pPr>
                        <w:pStyle w:val="NormalWeb"/>
                        <w:spacing w:before="0" w:beforeAutospacing="0" w:after="0" w:afterAutospacing="0"/>
                        <w:jc w:val="cente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pPr>
                      <w: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t>(Décret2009)</w:t>
                      </w:r>
                    </w:p>
                    <w:p>
                      <w:pPr>
                        <w:pStyle w:val="NormalWeb"/>
                        <w:spacing w:before="0" w:beforeAutospacing="0" w:after="0" w:afterAutospacing="0"/>
                        <w:jc w:val="cente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pPr>
                      <w: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t>Opérateurs</w:t>
                      </w:r>
                    </w:p>
                    <w:p>
                      <w:pPr>
                        <w:pStyle w:val="NormalWeb"/>
                        <w:spacing w:before="0" w:beforeAutospacing="0" w:after="0" w:afterAutospacing="0"/>
                        <w:jc w:val="cente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pPr>
                      <w: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t xml:space="preserve"> </w:t>
                      </w:r>
                      <w:proofErr w:type="gramStart"/>
                      <w: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t>de</w:t>
                      </w:r>
                      <w:proofErr w:type="gramEnd"/>
                    </w:p>
                    <w:p>
                      <w:pPr>
                        <w:pStyle w:val="NormalWeb"/>
                        <w:spacing w:before="0" w:beforeAutospacing="0" w:after="0" w:afterAutospacing="0"/>
                        <w:jc w:val="cente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pPr>
                      <w: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t xml:space="preserve"> Droit public</w:t>
                      </w:r>
                    </w:p>
                    <w:p>
                      <w:pPr>
                        <w:pStyle w:val="NormalWeb"/>
                        <w:spacing w:before="0" w:beforeAutospacing="0" w:after="0" w:afterAutospacing="0"/>
                        <w:jc w:val="cente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pPr>
                    </w:p>
                    <w:p>
                      <w:pPr>
                        <w:pStyle w:val="NormalWeb"/>
                        <w:spacing w:before="0" w:beforeAutospacing="0" w:after="0" w:afterAutospacing="0"/>
                        <w:jc w:val="center"/>
                        <w:rPr>
                          <w:rFonts w:ascii="Verdana" w:eastAsia="Verdana" w:hAnsi="Verdana" w:cs="Verdana"/>
                          <w:b/>
                          <w:bCs/>
                          <w:shadow/>
                          <w:color w:val="C0C0C0"/>
                          <w:spacing w:val="80"/>
                          <w:sz w:val="40"/>
                          <w:szCs w:val="40"/>
                          <w14:shadow w14:blurRad="0" w14:dist="45847" w14:dir="3378596" w14:sx="100000" w14:sy="100000" w14:kx="0" w14:ky="0" w14:algn="ctr">
                            <w14:srgbClr w14:val="4D4D4D"/>
                          </w14:shadow>
                        </w:rPr>
                      </w:pPr>
                    </w:p>
                    <w:p>
                      <w:pPr>
                        <w:pStyle w:val="NormalWeb"/>
                        <w:spacing w:before="0" w:beforeAutospacing="0" w:after="0" w:afterAutospacing="0"/>
                        <w:jc w:val="center"/>
                      </w:pPr>
                    </w:p>
                  </w:txbxContent>
                </v:textbox>
              </v:shape>
            </w:pict>
          </mc:Fallback>
        </mc:AlternateContent>
      </w:r>
      <w:permEnd w:id="1373981282"/>
    </w:p>
    <w:p>
      <w:pPr>
        <w:pStyle w:val="En-tte"/>
        <w:tabs>
          <w:tab w:val="clear" w:pos="4536"/>
          <w:tab w:val="clear" w:pos="9072"/>
        </w:tabs>
      </w:pPr>
    </w:p>
    <w:p>
      <w:pPr>
        <w:rPr>
          <w:rFonts w:ascii="Verdana" w:hAnsi="Verdana"/>
        </w:rPr>
      </w:pPr>
      <w:r>
        <w:rPr>
          <w:rFonts w:ascii="Verdana" w:hAnsi="Verdana"/>
        </w:rPr>
        <w:br w:type="page"/>
      </w:r>
    </w:p>
    <w:p>
      <w:pPr>
        <w:jc w:val="both"/>
        <w:rPr>
          <w:rFonts w:ascii="Verdana" w:hAnsi="Verdana"/>
        </w:rPr>
      </w:pPr>
    </w:p>
    <w:p>
      <w:pPr>
        <w:jc w:val="both"/>
        <w:rPr>
          <w:rFonts w:ascii="Verdana" w:hAnsi="Verdana"/>
        </w:rPr>
      </w:pPr>
    </w:p>
    <w:p>
      <w:pPr>
        <w:jc w:val="both"/>
        <w:rPr>
          <w:rFonts w:ascii="Verdana" w:hAnsi="Verdana"/>
          <w:sz w:val="24"/>
          <w:szCs w:val="24"/>
          <w:u w:val="single"/>
        </w:rPr>
      </w:pPr>
      <w:r>
        <w:rPr>
          <w:rFonts w:ascii="Verdana" w:hAnsi="Verdana"/>
          <w:sz w:val="24"/>
          <w:szCs w:val="24"/>
          <w:u w:val="single"/>
        </w:rPr>
        <w:t>Introduction</w:t>
      </w:r>
    </w:p>
    <w:p>
      <w:pPr>
        <w:jc w:val="both"/>
        <w:rPr>
          <w:rFonts w:ascii="Verdana" w:hAnsi="Verdana"/>
        </w:rPr>
      </w:pPr>
    </w:p>
    <w:p>
      <w:pPr>
        <w:jc w:val="both"/>
        <w:rPr>
          <w:rFonts w:ascii="Verdana" w:hAnsi="Verdana"/>
        </w:rPr>
      </w:pPr>
      <w:r>
        <w:rPr>
          <w:rFonts w:ascii="Verdana" w:hAnsi="Verdana"/>
        </w:rPr>
        <w:t xml:space="preserve">Le rapport financier sert à justifier l’utilisation des subventions « Permanent » et de fonctionnement et d’activités reçues par les bibliothèques reconnues dans le cadre du Décret de 2009 </w:t>
      </w:r>
    </w:p>
    <w:p>
      <w:pPr>
        <w:jc w:val="both"/>
        <w:rPr>
          <w:rFonts w:ascii="Verdana" w:hAnsi="Verdana"/>
        </w:rPr>
      </w:pPr>
    </w:p>
    <w:p>
      <w:pPr>
        <w:pStyle w:val="Paragraphedeliste"/>
        <w:numPr>
          <w:ilvl w:val="0"/>
          <w:numId w:val="18"/>
        </w:numPr>
        <w:ind w:hanging="720"/>
        <w:jc w:val="both"/>
        <w:rPr>
          <w:rFonts w:ascii="Verdana" w:hAnsi="Verdana"/>
        </w:rPr>
      </w:pPr>
      <w:r>
        <w:rPr>
          <w:rFonts w:ascii="Verdana" w:hAnsi="Verdana"/>
          <w:b/>
        </w:rPr>
        <w:t>La subvention « Permanent » :</w:t>
      </w:r>
      <w:r>
        <w:rPr>
          <w:rFonts w:ascii="Verdana" w:hAnsi="Verdana"/>
        </w:rPr>
        <w:t xml:space="preserve"> elle est accordée pour financer le personnel de la bibliothèque pour autant que celui-ci soit porteur d’un des grades prévus par l’arrêté d’application du 19 juillet 2011 (article 8 repris en fin de document) : </w:t>
      </w:r>
    </w:p>
    <w:p>
      <w:pPr>
        <w:jc w:val="both"/>
        <w:rPr>
          <w:rFonts w:ascii="Verdana" w:hAnsi="Verdana"/>
        </w:rPr>
      </w:pPr>
    </w:p>
    <w:p>
      <w:pPr>
        <w:numPr>
          <w:ilvl w:val="0"/>
          <w:numId w:val="8"/>
        </w:numPr>
        <w:tabs>
          <w:tab w:val="clear" w:pos="720"/>
          <w:tab w:val="num" w:pos="1080"/>
        </w:tabs>
        <w:jc w:val="both"/>
        <w:rPr>
          <w:rFonts w:ascii="Verdana" w:hAnsi="Verdana"/>
        </w:rPr>
      </w:pPr>
      <w:r>
        <w:rPr>
          <w:rFonts w:ascii="Verdana" w:hAnsi="Verdana"/>
        </w:rPr>
        <w:t>Master ou licence en sciences et technologies de l’information et de la communication ;</w:t>
      </w:r>
    </w:p>
    <w:p>
      <w:pPr>
        <w:numPr>
          <w:ilvl w:val="0"/>
          <w:numId w:val="8"/>
        </w:numPr>
        <w:tabs>
          <w:tab w:val="clear" w:pos="720"/>
          <w:tab w:val="num" w:pos="1080"/>
        </w:tabs>
        <w:jc w:val="both"/>
        <w:rPr>
          <w:rFonts w:ascii="Verdana" w:hAnsi="Verdana"/>
        </w:rPr>
      </w:pPr>
      <w:r>
        <w:rPr>
          <w:rFonts w:ascii="Verdana" w:hAnsi="Verdana"/>
        </w:rPr>
        <w:t>Baccalauréat de bibliothécaire-documentaliste ou graduat de bibliothécaire-documentaliste ;</w:t>
      </w:r>
    </w:p>
    <w:p>
      <w:pPr>
        <w:numPr>
          <w:ilvl w:val="0"/>
          <w:numId w:val="8"/>
        </w:numPr>
        <w:tabs>
          <w:tab w:val="clear" w:pos="720"/>
          <w:tab w:val="num" w:pos="1080"/>
        </w:tabs>
        <w:jc w:val="both"/>
        <w:rPr>
          <w:rFonts w:ascii="Verdana" w:hAnsi="Verdana"/>
        </w:rPr>
      </w:pPr>
      <w:r>
        <w:rPr>
          <w:rFonts w:ascii="Verdana" w:hAnsi="Verdana"/>
        </w:rPr>
        <w:t>Brevet de bibliothécaire, spécifique à l’enseignement supérieur social de promotion sociale de type court ;</w:t>
      </w:r>
    </w:p>
    <w:p>
      <w:pPr>
        <w:numPr>
          <w:ilvl w:val="0"/>
          <w:numId w:val="8"/>
        </w:numPr>
        <w:tabs>
          <w:tab w:val="clear" w:pos="720"/>
          <w:tab w:val="num" w:pos="1080"/>
        </w:tabs>
        <w:jc w:val="both"/>
        <w:rPr>
          <w:rFonts w:ascii="Verdana" w:hAnsi="Verdana"/>
        </w:rPr>
      </w:pPr>
      <w:r>
        <w:rPr>
          <w:rFonts w:ascii="Verdana" w:hAnsi="Verdana"/>
        </w:rPr>
        <w:t>Baccalauréat en informatique ou graduat de l’enseignement supérieur de type court en informatique.</w:t>
      </w:r>
    </w:p>
    <w:p>
      <w:pPr>
        <w:numPr>
          <w:ilvl w:val="0"/>
          <w:numId w:val="8"/>
        </w:numPr>
        <w:tabs>
          <w:tab w:val="clear" w:pos="720"/>
          <w:tab w:val="num" w:pos="1080"/>
        </w:tabs>
        <w:jc w:val="both"/>
        <w:rPr>
          <w:rFonts w:ascii="Verdana" w:hAnsi="Verdana"/>
        </w:rPr>
      </w:pPr>
      <w:r>
        <w:rPr>
          <w:rFonts w:ascii="Verdana" w:hAnsi="Verdana"/>
        </w:rPr>
        <w:t xml:space="preserve">Titre étranger reconnu par le Gouvernement de </w:t>
      </w:r>
      <w:smartTag w:uri="urn:schemas-microsoft-com:office:smarttags" w:element="PersonName">
        <w:smartTagPr>
          <w:attr w:name="ProductID" w:val="la Communaut￩"/>
        </w:smartTagPr>
        <w:r>
          <w:rPr>
            <w:rFonts w:ascii="Verdana" w:hAnsi="Verdana"/>
          </w:rPr>
          <w:t>la Communauté</w:t>
        </w:r>
      </w:smartTag>
      <w:r>
        <w:rPr>
          <w:rFonts w:ascii="Verdana" w:hAnsi="Verdana"/>
        </w:rPr>
        <w:t xml:space="preserve"> française comme équivalent aux grades repris dans les précédents tirets ;</w:t>
      </w:r>
    </w:p>
    <w:p>
      <w:pPr>
        <w:jc w:val="both"/>
        <w:rPr>
          <w:rFonts w:ascii="Verdana" w:hAnsi="Verdana"/>
        </w:rPr>
      </w:pPr>
    </w:p>
    <w:p>
      <w:pPr>
        <w:jc w:val="both"/>
        <w:rPr>
          <w:rFonts w:ascii="Verdana" w:hAnsi="Verdana"/>
          <w:b/>
          <w:u w:val="single"/>
        </w:rPr>
      </w:pPr>
      <w:r>
        <w:rPr>
          <w:rFonts w:ascii="Verdana" w:hAnsi="Verdana"/>
          <w:b/>
          <w:u w:val="single"/>
        </w:rPr>
        <w:t>Ou</w:t>
      </w:r>
    </w:p>
    <w:p>
      <w:pPr>
        <w:jc w:val="both"/>
        <w:rPr>
          <w:rFonts w:ascii="Verdana" w:hAnsi="Verdana"/>
        </w:rPr>
      </w:pPr>
    </w:p>
    <w:p>
      <w:pPr>
        <w:numPr>
          <w:ilvl w:val="0"/>
          <w:numId w:val="9"/>
        </w:numPr>
        <w:jc w:val="both"/>
        <w:rPr>
          <w:rFonts w:ascii="Verdana" w:hAnsi="Verdana"/>
        </w:rPr>
      </w:pPr>
      <w:r>
        <w:rPr>
          <w:rFonts w:ascii="Verdana" w:hAnsi="Verdana"/>
        </w:rPr>
        <w:t>Avoir exercé une fonction d’animateur subventionné dans le cadre du décret du 24 octobre 2008 ;</w:t>
      </w:r>
    </w:p>
    <w:p>
      <w:pPr>
        <w:jc w:val="both"/>
        <w:rPr>
          <w:rFonts w:ascii="Verdana" w:hAnsi="Verdana"/>
        </w:rPr>
      </w:pPr>
    </w:p>
    <w:p>
      <w:pPr>
        <w:jc w:val="both"/>
        <w:rPr>
          <w:rFonts w:ascii="Verdana" w:hAnsi="Verdana"/>
          <w:b/>
          <w:u w:val="single"/>
        </w:rPr>
      </w:pPr>
      <w:r>
        <w:rPr>
          <w:rFonts w:ascii="Verdana" w:hAnsi="Verdana"/>
          <w:b/>
          <w:u w:val="single"/>
        </w:rPr>
        <w:t xml:space="preserve">Ou </w:t>
      </w:r>
    </w:p>
    <w:p>
      <w:pPr>
        <w:jc w:val="both"/>
        <w:rPr>
          <w:rFonts w:ascii="Verdana" w:hAnsi="Verdana"/>
        </w:rPr>
      </w:pPr>
    </w:p>
    <w:p>
      <w:pPr>
        <w:numPr>
          <w:ilvl w:val="0"/>
          <w:numId w:val="9"/>
        </w:numPr>
        <w:jc w:val="both"/>
        <w:rPr>
          <w:rFonts w:ascii="Verdana" w:hAnsi="Verdana"/>
        </w:rPr>
      </w:pPr>
      <w:r>
        <w:rPr>
          <w:rFonts w:ascii="Verdana" w:hAnsi="Verdana"/>
        </w:rPr>
        <w:t xml:space="preserve">Avoir a été sélectionné par un jury composé au minimum de représentants de votre (vos) pouvoir(s) organisateur(s) et d’un membre de l’Inspection </w:t>
      </w:r>
      <w:r>
        <w:rPr>
          <w:rFonts w:ascii="Verdana" w:hAnsi="Verdana"/>
          <w:b/>
        </w:rPr>
        <w:t>à condition</w:t>
      </w:r>
      <w:r>
        <w:rPr>
          <w:rFonts w:ascii="Verdana" w:hAnsi="Verdana"/>
        </w:rPr>
        <w:t xml:space="preserve"> d’être porteur au minimum d’un titre utile de l’enseignement supérieur de type court </w:t>
      </w:r>
      <w:r>
        <w:rPr>
          <w:rFonts w:ascii="Verdana" w:hAnsi="Verdana"/>
          <w:b/>
        </w:rPr>
        <w:t>ou</w:t>
      </w:r>
      <w:r>
        <w:rPr>
          <w:rFonts w:ascii="Verdana" w:hAnsi="Verdana"/>
        </w:rPr>
        <w:t xml:space="preserve"> de pouvoir justifier d’une expérience professionnelle rémunérée utile d’au moins 5 ans ;</w:t>
      </w:r>
    </w:p>
    <w:p>
      <w:pPr>
        <w:jc w:val="both"/>
        <w:rPr>
          <w:rFonts w:ascii="Verdana" w:hAnsi="Verdana"/>
        </w:rPr>
      </w:pPr>
    </w:p>
    <w:p>
      <w:pPr>
        <w:jc w:val="both"/>
        <w:rPr>
          <w:rFonts w:ascii="Verdana" w:hAnsi="Verdana"/>
          <w:b/>
        </w:rPr>
      </w:pPr>
    </w:p>
    <w:p>
      <w:pPr>
        <w:jc w:val="both"/>
        <w:rPr>
          <w:rFonts w:ascii="Verdana" w:hAnsi="Verdana"/>
        </w:rPr>
      </w:pPr>
      <w:r>
        <w:rPr>
          <w:rFonts w:ascii="Verdana" w:hAnsi="Verdana"/>
        </w:rPr>
        <w:t>Par ailleurs le membre du personnel qualifié doit consacrer un minimum de 125 heures par période de 5 ans à des formations professionnelles.</w:t>
      </w:r>
    </w:p>
    <w:p>
      <w:pPr>
        <w:jc w:val="both"/>
        <w:rPr>
          <w:rFonts w:ascii="Verdana" w:hAnsi="Verdana"/>
          <w:b/>
        </w:rPr>
      </w:pPr>
    </w:p>
    <w:p>
      <w:pPr>
        <w:jc w:val="both"/>
        <w:rPr>
          <w:rFonts w:ascii="Verdana" w:hAnsi="Verdana"/>
        </w:rPr>
      </w:pPr>
    </w:p>
    <w:p>
      <w:pPr>
        <w:jc w:val="both"/>
        <w:rPr>
          <w:rFonts w:ascii="Verdana" w:hAnsi="Verdana"/>
        </w:rPr>
      </w:pPr>
      <w:r>
        <w:rPr>
          <w:rFonts w:ascii="Verdana" w:hAnsi="Verdana"/>
        </w:rPr>
        <w:t xml:space="preserve">Pour rappel, une subvention « permanent » doit être justifiée par un équivalent temps plein employé durant toute l’année. Le pourcentage d’occupation est calculé sur base des périodes prestées ou assimilées pour le calcul de la rémunération. </w:t>
      </w:r>
    </w:p>
    <w:p>
      <w:pPr>
        <w:rPr>
          <w:rFonts w:ascii="Verdana" w:hAnsi="Verdana"/>
        </w:rPr>
      </w:pPr>
    </w:p>
    <w:p>
      <w:pPr>
        <w:rPr>
          <w:rFonts w:ascii="Verdana" w:hAnsi="Verdana"/>
        </w:rPr>
      </w:pPr>
      <w:r>
        <w:rPr>
          <w:rFonts w:ascii="Verdana" w:hAnsi="Verdana"/>
        </w:rPr>
        <w:t xml:space="preserve">Remarque : un temps plein peut reposer sur plusieurs têtes </w:t>
      </w:r>
    </w:p>
    <w:p>
      <w:pPr>
        <w:rPr>
          <w:rFonts w:ascii="Verdana" w:hAnsi="Verdana"/>
        </w:rPr>
      </w:pPr>
    </w:p>
    <w:p>
      <w:pPr>
        <w:rPr>
          <w:rFonts w:ascii="Verdana" w:hAnsi="Verdana"/>
        </w:rPr>
      </w:pPr>
      <w:r>
        <w:rPr>
          <w:rFonts w:ascii="Verdana" w:hAnsi="Verdana"/>
        </w:rPr>
        <w:t>Sont pris en compte pour la justification de cette subvention (liste des dépenses admissibles) :</w:t>
      </w:r>
    </w:p>
    <w:p>
      <w:pPr>
        <w:rPr>
          <w:rFonts w:ascii="Verdana" w:hAnsi="Verdana"/>
        </w:rPr>
      </w:pPr>
    </w:p>
    <w:p>
      <w:pPr>
        <w:numPr>
          <w:ilvl w:val="0"/>
          <w:numId w:val="8"/>
        </w:numPr>
        <w:tabs>
          <w:tab w:val="clear" w:pos="720"/>
          <w:tab w:val="num" w:pos="1080"/>
        </w:tabs>
        <w:jc w:val="both"/>
        <w:rPr>
          <w:rFonts w:ascii="Verdana" w:hAnsi="Verdana"/>
        </w:rPr>
      </w:pPr>
      <w:r>
        <w:rPr>
          <w:rFonts w:ascii="Verdana" w:hAnsi="Verdana"/>
        </w:rPr>
        <w:t>la rémunération ou le traitement annuel brut défini comme la rémunération ordinaire, la rémunération afférente à des absences impliquant le maintien de la rémunération, le sursalaire, la rémunération garantie en cas de maladie ou d’accident, les allocations et indemnités, le pécule de vacances et le pécule simple de sortie ;</w:t>
      </w:r>
    </w:p>
    <w:p>
      <w:pPr>
        <w:rPr>
          <w:rFonts w:ascii="Verdana" w:hAnsi="Verdana"/>
        </w:rPr>
      </w:pPr>
    </w:p>
    <w:p>
      <w:pPr>
        <w:numPr>
          <w:ilvl w:val="0"/>
          <w:numId w:val="8"/>
        </w:numPr>
        <w:tabs>
          <w:tab w:val="clear" w:pos="720"/>
          <w:tab w:val="num" w:pos="1080"/>
        </w:tabs>
        <w:rPr>
          <w:rFonts w:ascii="Verdana" w:hAnsi="Verdana"/>
        </w:rPr>
      </w:pPr>
      <w:r>
        <w:rPr>
          <w:rFonts w:ascii="Verdana" w:hAnsi="Verdana"/>
        </w:rPr>
        <w:t>le salaire garanti non soumis aux cotisations de sécurité sociale ;</w:t>
      </w:r>
    </w:p>
    <w:p>
      <w:pPr>
        <w:rPr>
          <w:rFonts w:ascii="Verdana" w:hAnsi="Verdana"/>
        </w:rPr>
      </w:pPr>
    </w:p>
    <w:p>
      <w:pPr>
        <w:numPr>
          <w:ilvl w:val="0"/>
          <w:numId w:val="8"/>
        </w:numPr>
        <w:tabs>
          <w:tab w:val="clear" w:pos="720"/>
          <w:tab w:val="num" w:pos="1080"/>
        </w:tabs>
        <w:rPr>
          <w:rFonts w:ascii="Verdana" w:hAnsi="Verdana"/>
        </w:rPr>
      </w:pPr>
      <w:r>
        <w:rPr>
          <w:rFonts w:ascii="Verdana" w:hAnsi="Verdana"/>
        </w:rPr>
        <w:t>l’éventuelle prime de fin d’année ;</w:t>
      </w:r>
    </w:p>
    <w:p>
      <w:pPr>
        <w:rPr>
          <w:rFonts w:ascii="Verdana" w:hAnsi="Verdana"/>
        </w:rPr>
      </w:pPr>
    </w:p>
    <w:p>
      <w:pPr>
        <w:numPr>
          <w:ilvl w:val="0"/>
          <w:numId w:val="8"/>
        </w:numPr>
        <w:tabs>
          <w:tab w:val="clear" w:pos="720"/>
          <w:tab w:val="num" w:pos="1080"/>
        </w:tabs>
        <w:jc w:val="both"/>
        <w:rPr>
          <w:rFonts w:ascii="Verdana" w:hAnsi="Verdana"/>
        </w:rPr>
      </w:pPr>
      <w:r>
        <w:rPr>
          <w:rFonts w:ascii="Verdana" w:hAnsi="Verdana"/>
        </w:rPr>
        <w:t>les cotisations de sécurité sociale à charge de l’employeur, en ce compris la cotisation annuelle destinée au régime de vacances annuelles des travailleurs manuels ;</w:t>
      </w:r>
    </w:p>
    <w:p>
      <w:pPr>
        <w:rPr>
          <w:rFonts w:ascii="Verdana" w:hAnsi="Verdana"/>
        </w:rPr>
      </w:pPr>
    </w:p>
    <w:p>
      <w:pPr>
        <w:numPr>
          <w:ilvl w:val="0"/>
          <w:numId w:val="8"/>
        </w:numPr>
        <w:tabs>
          <w:tab w:val="clear" w:pos="720"/>
          <w:tab w:val="num" w:pos="1080"/>
        </w:tabs>
        <w:rPr>
          <w:rFonts w:ascii="Verdana" w:hAnsi="Verdana"/>
        </w:rPr>
      </w:pPr>
      <w:r>
        <w:rPr>
          <w:rFonts w:ascii="Verdana" w:hAnsi="Verdana"/>
        </w:rPr>
        <w:t>l’indemnité pour frais de transport entre domicile et lieu de travail ;</w:t>
      </w:r>
    </w:p>
    <w:p>
      <w:pPr>
        <w:rPr>
          <w:rFonts w:ascii="Verdana" w:hAnsi="Verdana"/>
        </w:rPr>
      </w:pPr>
    </w:p>
    <w:p>
      <w:pPr>
        <w:numPr>
          <w:ilvl w:val="0"/>
          <w:numId w:val="8"/>
        </w:numPr>
        <w:tabs>
          <w:tab w:val="clear" w:pos="720"/>
          <w:tab w:val="num" w:pos="1080"/>
        </w:tabs>
        <w:rPr>
          <w:rFonts w:ascii="Verdana" w:hAnsi="Verdana"/>
        </w:rPr>
      </w:pPr>
      <w:r>
        <w:rPr>
          <w:rFonts w:ascii="Verdana" w:hAnsi="Verdana"/>
        </w:rPr>
        <w:t>l’assurance contre les accidents du travail ;</w:t>
      </w:r>
    </w:p>
    <w:p>
      <w:pPr>
        <w:rPr>
          <w:rFonts w:ascii="Verdana" w:hAnsi="Verdana"/>
        </w:rPr>
      </w:pPr>
    </w:p>
    <w:p>
      <w:pPr>
        <w:numPr>
          <w:ilvl w:val="0"/>
          <w:numId w:val="8"/>
        </w:numPr>
        <w:tabs>
          <w:tab w:val="clear" w:pos="720"/>
          <w:tab w:val="num" w:pos="1080"/>
        </w:tabs>
        <w:rPr>
          <w:rFonts w:ascii="Verdana" w:hAnsi="Verdana"/>
        </w:rPr>
      </w:pPr>
      <w:r>
        <w:rPr>
          <w:rFonts w:ascii="Verdana" w:hAnsi="Verdana"/>
        </w:rPr>
        <w:t>les éventuels frais de secrétariat social ;</w:t>
      </w:r>
    </w:p>
    <w:p>
      <w:pPr>
        <w:rPr>
          <w:rFonts w:ascii="Verdana" w:hAnsi="Verdana"/>
        </w:rPr>
      </w:pPr>
    </w:p>
    <w:p>
      <w:pPr>
        <w:numPr>
          <w:ilvl w:val="0"/>
          <w:numId w:val="8"/>
        </w:numPr>
        <w:tabs>
          <w:tab w:val="clear" w:pos="720"/>
          <w:tab w:val="num" w:pos="1080"/>
        </w:tabs>
        <w:rPr>
          <w:rFonts w:ascii="Verdana" w:hAnsi="Verdana"/>
        </w:rPr>
      </w:pPr>
      <w:r>
        <w:rPr>
          <w:rFonts w:ascii="Verdana" w:hAnsi="Verdana"/>
        </w:rPr>
        <w:t xml:space="preserve">les frais d’abonnement social. </w:t>
      </w:r>
    </w:p>
    <w:p>
      <w:pPr>
        <w:rPr>
          <w:rFonts w:ascii="Verdana" w:hAnsi="Verdana"/>
        </w:rPr>
      </w:pPr>
    </w:p>
    <w:p>
      <w:pPr>
        <w:jc w:val="both"/>
        <w:rPr>
          <w:rFonts w:ascii="Verdana" w:hAnsi="Verdana"/>
        </w:rPr>
      </w:pPr>
      <w:r>
        <w:rPr>
          <w:rFonts w:ascii="Verdana" w:hAnsi="Verdana"/>
        </w:rPr>
        <w:t xml:space="preserve">La charge salariale du personnel visé par ces subventions peut bénéficier d’autres subventions que celles de la Communauté française </w:t>
      </w:r>
      <w:r>
        <w:rPr>
          <w:rFonts w:ascii="Verdana" w:hAnsi="Verdana"/>
          <w:b/>
        </w:rPr>
        <w:t>à condition</w:t>
      </w:r>
      <w:r>
        <w:rPr>
          <w:rFonts w:ascii="Verdana" w:hAnsi="Verdana"/>
        </w:rPr>
        <w:t xml:space="preserve"> que le total des subventions reçues n’excède pas le montant total des dépenses réellement consenties par le pouvoir organisateur pour son personnel subventionné.</w:t>
      </w:r>
    </w:p>
    <w:p>
      <w:pPr>
        <w:rPr>
          <w:rFonts w:ascii="Verdana" w:hAnsi="Verdana"/>
        </w:rPr>
      </w:pPr>
    </w:p>
    <w:p>
      <w:pPr>
        <w:jc w:val="both"/>
        <w:rPr>
          <w:rFonts w:ascii="Verdana" w:hAnsi="Verdana"/>
        </w:rPr>
      </w:pPr>
      <w:r>
        <w:rPr>
          <w:rFonts w:ascii="Verdana" w:hAnsi="Verdana"/>
        </w:rPr>
        <w:t xml:space="preserve">Durant la mise en disponibilité d’un agent statutaire, la subvention sera liquidée à soixante pourcents, équivalent au traitement d’attente de l’agent. </w:t>
      </w:r>
    </w:p>
    <w:p>
      <w:pPr>
        <w:rPr>
          <w:rFonts w:ascii="Verdana" w:hAnsi="Verdana"/>
        </w:rPr>
      </w:pPr>
    </w:p>
    <w:p>
      <w:pPr>
        <w:jc w:val="both"/>
        <w:rPr>
          <w:rFonts w:ascii="Verdana" w:hAnsi="Verdana"/>
        </w:rPr>
      </w:pPr>
      <w:r>
        <w:rPr>
          <w:rFonts w:ascii="Verdana" w:hAnsi="Verdana"/>
        </w:rPr>
        <w:t xml:space="preserve">L’intervention forfaitaire dans la rémunération des </w:t>
      </w:r>
      <w:r>
        <w:rPr>
          <w:rFonts w:ascii="Verdana" w:hAnsi="Verdana"/>
          <w:u w:val="single"/>
        </w:rPr>
        <w:t xml:space="preserve">permanents </w:t>
      </w:r>
      <w:r>
        <w:rPr>
          <w:rFonts w:ascii="Verdana" w:hAnsi="Verdana"/>
        </w:rPr>
        <w:t xml:space="preserve">s’élève à 20.000,00 EUR (indexée) par équivalent temps plein. </w:t>
      </w:r>
    </w:p>
    <w:p>
      <w:pPr>
        <w:rPr>
          <w:rFonts w:ascii="Verdana" w:hAnsi="Verdana"/>
        </w:rPr>
      </w:pPr>
    </w:p>
    <w:p>
      <w:pPr>
        <w:rPr>
          <w:rFonts w:ascii="Verdana" w:hAnsi="Verdana"/>
        </w:rPr>
      </w:pPr>
    </w:p>
    <w:p>
      <w:pPr>
        <w:pStyle w:val="Paragraphedeliste"/>
        <w:numPr>
          <w:ilvl w:val="0"/>
          <w:numId w:val="18"/>
        </w:numPr>
        <w:ind w:hanging="720"/>
        <w:rPr>
          <w:rFonts w:ascii="Verdana" w:eastAsia="Calibri" w:hAnsi="Verdana" w:cs="Calibri"/>
          <w:sz w:val="22"/>
          <w:szCs w:val="22"/>
          <w:lang w:val="fr-BE" w:eastAsia="en-US"/>
        </w:rPr>
      </w:pPr>
      <w:r>
        <w:rPr>
          <w:rFonts w:ascii="Verdana" w:hAnsi="Verdana"/>
          <w:b/>
          <w:sz w:val="22"/>
          <w:szCs w:val="22"/>
        </w:rPr>
        <w:t>La subvention de fonctionnement</w:t>
      </w:r>
      <w:r>
        <w:rPr>
          <w:rFonts w:ascii="Verdana" w:eastAsia="Calibri" w:hAnsi="Verdana" w:cs="Calibri"/>
          <w:sz w:val="22"/>
          <w:szCs w:val="22"/>
          <w:lang w:val="fr-BE" w:eastAsia="en-US"/>
        </w:rPr>
        <w:t xml:space="preserve"> et d’activités</w:t>
      </w:r>
    </w:p>
    <w:p>
      <w:pPr>
        <w:rPr>
          <w:rFonts w:ascii="Verdana" w:eastAsia="Calibri" w:hAnsi="Verdana" w:cs="Calibri"/>
          <w:sz w:val="22"/>
          <w:szCs w:val="22"/>
          <w:lang w:val="fr-BE" w:eastAsia="en-US"/>
        </w:rPr>
      </w:pPr>
    </w:p>
    <w:p>
      <w:pPr>
        <w:ind w:left="708"/>
        <w:jc w:val="both"/>
        <w:rPr>
          <w:rFonts w:ascii="Verdana" w:eastAsia="Calibri" w:hAnsi="Verdana" w:cs="Calibri"/>
          <w:lang w:val="fr-BE" w:eastAsia="en-US"/>
        </w:rPr>
      </w:pPr>
      <w:r>
        <w:rPr>
          <w:rFonts w:ascii="Verdana" w:eastAsia="Calibri" w:hAnsi="Verdana" w:cs="Calibri"/>
          <w:lang w:val="fr-BE" w:eastAsia="en-US"/>
        </w:rPr>
        <w:t>La subvention de fonctionnement et d’activités peut être utilisée pour  des dépenses  qui permettent  la réalisation du  plan de développement :</w:t>
      </w:r>
    </w:p>
    <w:p>
      <w:pPr>
        <w:ind w:left="360"/>
        <w:rPr>
          <w:rFonts w:ascii="Verdana" w:eastAsia="Calibri" w:hAnsi="Verdana" w:cs="Calibri"/>
          <w:lang w:val="fr-BE" w:eastAsia="en-US"/>
        </w:rPr>
      </w:pPr>
    </w:p>
    <w:p>
      <w:pPr>
        <w:numPr>
          <w:ilvl w:val="0"/>
          <w:numId w:val="36"/>
        </w:numPr>
        <w:jc w:val="both"/>
        <w:rPr>
          <w:rFonts w:ascii="Verdana" w:eastAsia="Calibri" w:hAnsi="Verdana" w:cs="Calibri"/>
          <w:lang w:val="fr-BE" w:eastAsia="en-US"/>
        </w:rPr>
      </w:pPr>
      <w:r>
        <w:rPr>
          <w:rFonts w:ascii="Verdana" w:eastAsia="Calibri" w:hAnsi="Verdana" w:cs="Calibri"/>
          <w:lang w:val="fr-BE" w:eastAsia="en-US"/>
        </w:rPr>
        <w:t xml:space="preserve">Paiement d’un personnel supplémentaire engagé dans le cadre du PQD dans la mesure où son temps de travail n’est déjà pas financé dans le cadre de la Subvention « Permanent » ; </w:t>
      </w:r>
    </w:p>
    <w:p>
      <w:pPr>
        <w:numPr>
          <w:ilvl w:val="0"/>
          <w:numId w:val="36"/>
        </w:numPr>
        <w:jc w:val="both"/>
        <w:rPr>
          <w:rFonts w:ascii="Verdana" w:eastAsia="Calibri" w:hAnsi="Verdana" w:cs="Calibri"/>
          <w:lang w:val="fr-BE" w:eastAsia="en-US"/>
        </w:rPr>
      </w:pPr>
      <w:r>
        <w:rPr>
          <w:rFonts w:ascii="Verdana" w:eastAsia="Calibri" w:hAnsi="Verdana" w:cs="Calibri"/>
          <w:lang w:val="fr-BE" w:eastAsia="en-US"/>
        </w:rPr>
        <w:t xml:space="preserve">Les frais d’animation, de communication, de catalogue collectif, de maintenance informatique, de formation continuée, de fournitures et matériel de bureau, ou encore de téléphone et internet ou </w:t>
      </w:r>
      <w:proofErr w:type="spellStart"/>
      <w:r>
        <w:rPr>
          <w:rFonts w:ascii="Verdana" w:eastAsia="Calibri" w:hAnsi="Verdana" w:cs="Calibri"/>
          <w:lang w:val="fr-BE" w:eastAsia="en-US"/>
        </w:rPr>
        <w:t>Reprobel</w:t>
      </w:r>
      <w:proofErr w:type="spellEnd"/>
      <w:r>
        <w:rPr>
          <w:rFonts w:ascii="Verdana" w:eastAsia="Calibri" w:hAnsi="Verdana" w:cs="Calibri"/>
          <w:lang w:val="fr-BE" w:eastAsia="en-US"/>
        </w:rPr>
        <w:t xml:space="preserve"> sont admissibles ;</w:t>
      </w:r>
    </w:p>
    <w:p>
      <w:pPr>
        <w:numPr>
          <w:ilvl w:val="0"/>
          <w:numId w:val="36"/>
        </w:numPr>
        <w:jc w:val="both"/>
        <w:rPr>
          <w:rFonts w:ascii="Verdana" w:eastAsia="Calibri" w:hAnsi="Verdana" w:cs="Calibri"/>
          <w:lang w:val="fr-BE" w:eastAsia="en-US"/>
        </w:rPr>
      </w:pPr>
      <w:r>
        <w:rPr>
          <w:rFonts w:ascii="Verdana" w:eastAsia="Calibri" w:hAnsi="Verdana" w:cs="Calibri"/>
          <w:lang w:eastAsia="en-US"/>
        </w:rPr>
        <w:t>Les intérêts bancaires liés à des emprunts faits en raison d’une réception tardive des subventions émanant de la Communauté française peuvent servir à la justification de la subvention de fonctionnement et d’activités.</w:t>
      </w:r>
    </w:p>
    <w:p>
      <w:pPr>
        <w:ind w:firstLine="708"/>
        <w:rPr>
          <w:rFonts w:ascii="Verdana" w:hAnsi="Verdana" w:cstheme="minorHAnsi"/>
          <w:bCs/>
        </w:rPr>
      </w:pPr>
    </w:p>
    <w:p>
      <w:pPr>
        <w:ind w:firstLine="708"/>
        <w:rPr>
          <w:rFonts w:ascii="Verdana" w:hAnsi="Verdana" w:cstheme="minorHAnsi"/>
        </w:rPr>
      </w:pPr>
      <w:r>
        <w:rPr>
          <w:rFonts w:ascii="Verdana" w:hAnsi="Verdana" w:cstheme="minorHAnsi"/>
          <w:bCs/>
        </w:rPr>
        <w:t>Elle ne peut toutefois pas servir à justifier des dépenses</w:t>
      </w:r>
      <w:r>
        <w:rPr>
          <w:rFonts w:ascii="Verdana" w:hAnsi="Verdana" w:cstheme="minorHAnsi"/>
        </w:rPr>
        <w:t> :</w:t>
      </w:r>
    </w:p>
    <w:p>
      <w:pPr>
        <w:ind w:firstLine="708"/>
        <w:rPr>
          <w:rFonts w:ascii="Verdana" w:hAnsi="Verdana" w:cstheme="minorHAnsi"/>
          <w:lang w:val="fr-BE" w:eastAsia="en-US"/>
        </w:rPr>
      </w:pPr>
    </w:p>
    <w:p>
      <w:pPr>
        <w:numPr>
          <w:ilvl w:val="0"/>
          <w:numId w:val="37"/>
        </w:numPr>
        <w:jc w:val="both"/>
        <w:rPr>
          <w:rFonts w:ascii="Verdana" w:hAnsi="Verdana" w:cstheme="minorHAnsi"/>
        </w:rPr>
      </w:pPr>
      <w:r>
        <w:rPr>
          <w:rFonts w:ascii="Verdana" w:hAnsi="Verdana" w:cstheme="minorHAnsi"/>
        </w:rPr>
        <w:t>qui doivent être prises en charge par ailleurs (accroissement annuel des ressources documentaires) ;</w:t>
      </w:r>
    </w:p>
    <w:p>
      <w:pPr>
        <w:numPr>
          <w:ilvl w:val="0"/>
          <w:numId w:val="37"/>
        </w:numPr>
        <w:rPr>
          <w:rFonts w:ascii="Verdana" w:hAnsi="Verdana" w:cstheme="minorHAnsi"/>
        </w:rPr>
      </w:pPr>
      <w:r>
        <w:rPr>
          <w:rFonts w:ascii="Verdana" w:hAnsi="Verdana" w:cstheme="minorHAnsi"/>
        </w:rPr>
        <w:t>liées à de l’investissement ou à de l’immobilisation de biens ;</w:t>
      </w:r>
    </w:p>
    <w:p>
      <w:pPr>
        <w:pStyle w:val="Paragraphedeliste"/>
        <w:numPr>
          <w:ilvl w:val="0"/>
          <w:numId w:val="37"/>
        </w:numPr>
        <w:jc w:val="both"/>
        <w:rPr>
          <w:rFonts w:ascii="Verdana" w:hAnsi="Verdana" w:cstheme="minorHAnsi"/>
        </w:rPr>
      </w:pPr>
      <w:r>
        <w:rPr>
          <w:rFonts w:ascii="Verdana" w:hAnsi="Verdana" w:cstheme="minorHAnsi"/>
        </w:rPr>
        <w:t>liées aux charges du bâtiment (électricité, chauffage, aménagement et entretien, assurance etc.).</w:t>
      </w:r>
    </w:p>
    <w:p>
      <w:pPr>
        <w:jc w:val="both"/>
        <w:rPr>
          <w:rFonts w:ascii="Verdana" w:hAnsi="Verdana" w:cstheme="minorHAnsi"/>
        </w:rPr>
      </w:pPr>
    </w:p>
    <w:p>
      <w:pPr>
        <w:jc w:val="both"/>
        <w:rPr>
          <w:rFonts w:ascii="Verdana" w:hAnsi="Verdana" w:cstheme="minorHAnsi"/>
        </w:rPr>
      </w:pPr>
      <w:r>
        <w:rPr>
          <w:rFonts w:ascii="Verdana" w:hAnsi="Verdana" w:cstheme="minorHAnsi"/>
          <w:u w:val="single"/>
        </w:rPr>
        <w:t>Remarque </w:t>
      </w:r>
      <w:r>
        <w:rPr>
          <w:rFonts w:ascii="Verdana" w:hAnsi="Verdana" w:cstheme="minorHAnsi"/>
        </w:rPr>
        <w:t>:</w:t>
      </w:r>
    </w:p>
    <w:p>
      <w:pPr>
        <w:jc w:val="both"/>
        <w:rPr>
          <w:rFonts w:ascii="Verdana" w:hAnsi="Verdana" w:cstheme="minorHAnsi"/>
        </w:rPr>
      </w:pPr>
    </w:p>
    <w:p>
      <w:pPr>
        <w:jc w:val="both"/>
        <w:rPr>
          <w:rFonts w:ascii="Verdana" w:hAnsi="Verdana" w:cstheme="minorHAnsi"/>
        </w:rPr>
      </w:pPr>
      <w:r>
        <w:rPr>
          <w:rFonts w:ascii="Verdana" w:hAnsi="Verdana" w:cstheme="minorHAnsi"/>
        </w:rPr>
        <w:t>Ne sont pas considérées comme des dépenses d’investissement celles qui n’excèdent pas 500 € et qui sont isolées </w:t>
      </w:r>
      <w:r>
        <w:rPr>
          <w:rFonts w:ascii="Verdana" w:hAnsi="Verdana" w:cstheme="minorHAnsi"/>
        </w:rPr>
        <w:sym w:font="Wingdings" w:char="F0E0"/>
      </w:r>
      <w:r>
        <w:rPr>
          <w:rFonts w:ascii="Verdana" w:hAnsi="Verdana" w:cstheme="minorHAnsi"/>
        </w:rPr>
        <w:t xml:space="preserve"> Vous pouvez justifier la subvention par l’acquisition d’un appareil photo de 400 € si vous en avez acheté un seul, pas cinq.</w:t>
      </w:r>
    </w:p>
    <w:p>
      <w:pPr>
        <w:jc w:val="both"/>
        <w:rPr>
          <w:rFonts w:ascii="Verdana" w:hAnsi="Verdana" w:cstheme="minorHAnsi"/>
        </w:rPr>
      </w:pPr>
    </w:p>
    <w:p>
      <w:pPr>
        <w:rPr>
          <w:rFonts w:ascii="Verdana" w:hAnsi="Verdana" w:cstheme="minorHAnsi"/>
          <w:sz w:val="22"/>
          <w:szCs w:val="22"/>
        </w:rPr>
      </w:pPr>
      <w:r>
        <w:rPr>
          <w:rFonts w:ascii="Verdana" w:hAnsi="Verdana" w:cstheme="minorHAnsi"/>
        </w:rPr>
        <w:br w:type="page"/>
      </w:r>
    </w:p>
    <w:p>
      <w:pPr>
        <w:jc w:val="center"/>
        <w:rPr>
          <w:rFonts w:ascii="Verdana" w:hAnsi="Verdana" w:cstheme="minorHAnsi"/>
          <w:sz w:val="28"/>
          <w:szCs w:val="28"/>
          <w:u w:val="single"/>
        </w:rPr>
      </w:pPr>
      <w:r>
        <w:rPr>
          <w:rFonts w:ascii="Verdana" w:hAnsi="Verdana" w:cstheme="minorHAnsi"/>
          <w:sz w:val="28"/>
          <w:szCs w:val="28"/>
          <w:u w:val="single"/>
        </w:rPr>
        <w:lastRenderedPageBreak/>
        <w:t>Le rapport financier</w:t>
      </w:r>
    </w:p>
    <w:p>
      <w:pPr>
        <w:jc w:val="both"/>
        <w:rPr>
          <w:rFonts w:ascii="Verdana" w:hAnsi="Verdana" w:cstheme="minorHAnsi"/>
          <w:sz w:val="28"/>
          <w:szCs w:val="28"/>
        </w:rPr>
      </w:pPr>
    </w:p>
    <w:p>
      <w:pPr>
        <w:jc w:val="both"/>
        <w:rPr>
          <w:rFonts w:ascii="Verdana" w:hAnsi="Verdana" w:cstheme="minorHAnsi"/>
          <w:sz w:val="22"/>
          <w:szCs w:val="22"/>
        </w:rPr>
      </w:pPr>
      <w:r>
        <w:rPr>
          <w:rFonts w:ascii="Verdana" w:hAnsi="Verdana" w:cstheme="minorHAnsi"/>
          <w:sz w:val="22"/>
          <w:szCs w:val="22"/>
        </w:rPr>
        <w:t xml:space="preserve">Le rapport financier se compose de trois parties </w:t>
      </w:r>
    </w:p>
    <w:p>
      <w:pPr>
        <w:jc w:val="both"/>
        <w:rPr>
          <w:rFonts w:ascii="Verdana" w:hAnsi="Verdana" w:cstheme="minorHAnsi"/>
          <w:sz w:val="22"/>
          <w:szCs w:val="22"/>
        </w:rPr>
      </w:pPr>
    </w:p>
    <w:p>
      <w:pPr>
        <w:pStyle w:val="Paragraphedeliste"/>
        <w:numPr>
          <w:ilvl w:val="0"/>
          <w:numId w:val="22"/>
        </w:numPr>
        <w:jc w:val="both"/>
        <w:rPr>
          <w:rFonts w:ascii="Verdana" w:hAnsi="Verdana" w:cstheme="minorHAnsi"/>
          <w:sz w:val="22"/>
          <w:szCs w:val="22"/>
        </w:rPr>
      </w:pPr>
      <w:r>
        <w:rPr>
          <w:rFonts w:ascii="Verdana" w:hAnsi="Verdana" w:cstheme="minorHAnsi"/>
          <w:sz w:val="22"/>
          <w:szCs w:val="22"/>
        </w:rPr>
        <w:t xml:space="preserve">Un volet « Personnel » </w:t>
      </w:r>
    </w:p>
    <w:p>
      <w:pPr>
        <w:pStyle w:val="Paragraphedeliste"/>
        <w:numPr>
          <w:ilvl w:val="0"/>
          <w:numId w:val="22"/>
        </w:numPr>
        <w:jc w:val="both"/>
        <w:rPr>
          <w:rFonts w:ascii="Verdana" w:hAnsi="Verdana" w:cstheme="minorHAnsi"/>
          <w:sz w:val="22"/>
          <w:szCs w:val="22"/>
        </w:rPr>
      </w:pPr>
      <w:r>
        <w:rPr>
          <w:rFonts w:ascii="Verdana" w:hAnsi="Verdana" w:cstheme="minorHAnsi"/>
          <w:sz w:val="22"/>
          <w:szCs w:val="22"/>
        </w:rPr>
        <w:t>Un volet « comptabilité »</w:t>
      </w:r>
    </w:p>
    <w:p>
      <w:pPr>
        <w:pStyle w:val="Paragraphedeliste"/>
        <w:numPr>
          <w:ilvl w:val="0"/>
          <w:numId w:val="22"/>
        </w:numPr>
        <w:jc w:val="both"/>
        <w:rPr>
          <w:rFonts w:ascii="Verdana" w:hAnsi="Verdana" w:cstheme="minorHAnsi"/>
          <w:sz w:val="22"/>
          <w:szCs w:val="22"/>
        </w:rPr>
      </w:pPr>
      <w:r>
        <w:rPr>
          <w:rFonts w:ascii="Verdana" w:hAnsi="Verdana" w:cstheme="minorHAnsi"/>
          <w:sz w:val="22"/>
          <w:szCs w:val="22"/>
        </w:rPr>
        <w:t>Les annexes</w:t>
      </w:r>
    </w:p>
    <w:p>
      <w:pPr>
        <w:jc w:val="both"/>
        <w:rPr>
          <w:rFonts w:ascii="Verdana" w:hAnsi="Verdana" w:cstheme="minorHAnsi"/>
          <w:sz w:val="24"/>
          <w:szCs w:val="24"/>
        </w:rPr>
      </w:pPr>
    </w:p>
    <w:p>
      <w:pPr>
        <w:pStyle w:val="Titre1"/>
        <w:numPr>
          <w:ilvl w:val="0"/>
          <w:numId w:val="1"/>
        </w:numPr>
        <w:jc w:val="both"/>
        <w:rPr>
          <w:rFonts w:ascii="Verdana" w:hAnsi="Verdana"/>
          <w:sz w:val="22"/>
          <w:szCs w:val="22"/>
          <w:u w:val="single"/>
        </w:rPr>
      </w:pPr>
      <w:r>
        <w:rPr>
          <w:rFonts w:ascii="Verdana" w:hAnsi="Verdana"/>
          <w:sz w:val="22"/>
          <w:szCs w:val="22"/>
          <w:u w:val="single"/>
        </w:rPr>
        <w:t>Volet « Personnel »</w:t>
      </w:r>
    </w:p>
    <w:p>
      <w:pPr>
        <w:rPr>
          <w:rFonts w:ascii="Verdana" w:hAnsi="Verdana"/>
        </w:rPr>
      </w:pPr>
    </w:p>
    <w:p>
      <w:pPr>
        <w:jc w:val="both"/>
        <w:rPr>
          <w:rFonts w:ascii="Verdana" w:hAnsi="Verdana"/>
        </w:rPr>
      </w:pPr>
      <w:r>
        <w:rPr>
          <w:rFonts w:ascii="Verdana" w:hAnsi="Verdana"/>
        </w:rPr>
        <w:t>Pour les opérateurs de droit public : Le volet  « Personnel » du rapport se présente sous la forme d’un fichier Excel disponible à cette adresse </w:t>
      </w:r>
      <w:proofErr w:type="gramStart"/>
      <w:r>
        <w:rPr>
          <w:rFonts w:ascii="Verdana" w:hAnsi="Verdana"/>
        </w:rPr>
        <w:t>:  https</w:t>
      </w:r>
      <w:proofErr w:type="gramEnd"/>
      <w:r>
        <w:rPr>
          <w:rFonts w:ascii="Verdana" w:hAnsi="Verdana"/>
        </w:rPr>
        <w:t>://bibliotheques.cfwb.be/aides-financieres/formulaires-rapports-modeles/</w:t>
      </w:r>
    </w:p>
    <w:p>
      <w:pPr>
        <w:jc w:val="both"/>
        <w:rPr>
          <w:rFonts w:ascii="Verdana" w:hAnsi="Verdana"/>
        </w:rPr>
      </w:pPr>
    </w:p>
    <w:p>
      <w:pPr>
        <w:pStyle w:val="Titre2"/>
        <w:numPr>
          <w:ilvl w:val="1"/>
          <w:numId w:val="3"/>
        </w:numPr>
        <w:jc w:val="both"/>
        <w:rPr>
          <w:rFonts w:ascii="Verdana" w:hAnsi="Verdana"/>
          <w:b w:val="0"/>
          <w:i w:val="0"/>
          <w:sz w:val="22"/>
          <w:szCs w:val="22"/>
        </w:rPr>
      </w:pPr>
      <w:r>
        <w:rPr>
          <w:rFonts w:ascii="Verdana" w:hAnsi="Verdana"/>
          <w:b w:val="0"/>
          <w:i w:val="0"/>
          <w:sz w:val="22"/>
          <w:szCs w:val="22"/>
        </w:rPr>
        <w:t xml:space="preserve">Identification de la bibliothèque   </w:t>
      </w:r>
    </w:p>
    <w:p>
      <w:pPr>
        <w:jc w:val="both"/>
        <w:rPr>
          <w:rFonts w:ascii="Verdana" w:hAnsi="Verdana"/>
        </w:rPr>
      </w:pPr>
    </w:p>
    <w:p>
      <w:pPr>
        <w:jc w:val="both"/>
        <w:rPr>
          <w:rFonts w:ascii="Verdana" w:hAnsi="Verdana"/>
        </w:rPr>
      </w:pPr>
      <w:r>
        <w:rPr>
          <w:rFonts w:ascii="Verdana" w:hAnsi="Verdana"/>
        </w:rPr>
        <w:t xml:space="preserve">Cette page se compose de trois rubriques : </w:t>
      </w:r>
    </w:p>
    <w:p>
      <w:pPr>
        <w:jc w:val="both"/>
        <w:rPr>
          <w:rFonts w:ascii="Verdana" w:hAnsi="Verdana"/>
        </w:rPr>
      </w:pPr>
      <w:r>
        <w:rPr>
          <w:rFonts w:ascii="Verdana" w:hAnsi="Verdana"/>
        </w:rPr>
        <w:t xml:space="preserve"> </w:t>
      </w:r>
    </w:p>
    <w:p>
      <w:pPr>
        <w:pStyle w:val="Paragraphedeliste"/>
        <w:numPr>
          <w:ilvl w:val="0"/>
          <w:numId w:val="24"/>
        </w:numPr>
        <w:jc w:val="both"/>
        <w:rPr>
          <w:rFonts w:ascii="Verdana" w:hAnsi="Verdana"/>
        </w:rPr>
      </w:pPr>
      <w:r>
        <w:rPr>
          <w:rFonts w:ascii="Verdana" w:hAnsi="Verdana"/>
        </w:rPr>
        <w:t>Coordonnées de la Bibliothèque</w:t>
      </w:r>
    </w:p>
    <w:p>
      <w:pPr>
        <w:pStyle w:val="Paragraphedeliste"/>
        <w:numPr>
          <w:ilvl w:val="0"/>
          <w:numId w:val="24"/>
        </w:numPr>
        <w:jc w:val="both"/>
        <w:rPr>
          <w:rFonts w:ascii="Verdana" w:hAnsi="Verdana"/>
        </w:rPr>
      </w:pPr>
      <w:r>
        <w:rPr>
          <w:rFonts w:ascii="Verdana" w:hAnsi="Verdana"/>
        </w:rPr>
        <w:t xml:space="preserve">Coordonnées du Pouvoir Organisateur </w:t>
      </w:r>
    </w:p>
    <w:p>
      <w:pPr>
        <w:pStyle w:val="Paragraphedeliste"/>
        <w:numPr>
          <w:ilvl w:val="0"/>
          <w:numId w:val="24"/>
        </w:numPr>
        <w:jc w:val="both"/>
        <w:rPr>
          <w:rFonts w:ascii="Verdana" w:hAnsi="Verdana"/>
        </w:rPr>
      </w:pPr>
      <w:r>
        <w:rPr>
          <w:rFonts w:ascii="Verdana" w:hAnsi="Verdana"/>
        </w:rPr>
        <w:t xml:space="preserve">Coordonnées de la/du bibliothécaire </w:t>
      </w:r>
      <w:proofErr w:type="spellStart"/>
      <w:r>
        <w:rPr>
          <w:rFonts w:ascii="Verdana" w:hAnsi="Verdana"/>
        </w:rPr>
        <w:t>dirigeant.e</w:t>
      </w:r>
      <w:proofErr w:type="spellEnd"/>
    </w:p>
    <w:p>
      <w:pPr>
        <w:jc w:val="both"/>
        <w:rPr>
          <w:rFonts w:ascii="Verdana" w:hAnsi="Verdana"/>
          <w:lang w:val="fr-BE"/>
        </w:rPr>
      </w:pPr>
    </w:p>
    <w:p>
      <w:pPr>
        <w:jc w:val="both"/>
        <w:rPr>
          <w:rFonts w:ascii="Verdana" w:hAnsi="Verdana"/>
          <w:lang w:val="fr-BE"/>
        </w:rPr>
      </w:pPr>
    </w:p>
    <w:p>
      <w:pPr>
        <w:jc w:val="both"/>
        <w:rPr>
          <w:rFonts w:ascii="Verdana" w:hAnsi="Verdana"/>
          <w:lang w:val="fr-BE"/>
        </w:rPr>
      </w:pPr>
      <w:r>
        <w:rPr>
          <w:rFonts w:ascii="Verdana" w:hAnsi="Verdana"/>
          <w:lang w:val="fr-BE"/>
        </w:rPr>
        <w:t xml:space="preserve">Les informations qui sont demandées dans cette fiche sont utiles au Service de la Lecture publique afin de compléter / corriger sa base de données des bibliothèques faisant partie du Réseau public de la Lecture mais aussi à des fins statistiques.  </w:t>
      </w:r>
    </w:p>
    <w:p>
      <w:pPr>
        <w:jc w:val="both"/>
        <w:rPr>
          <w:rFonts w:ascii="Verdana" w:hAnsi="Verdana"/>
          <w:lang w:val="fr-BE"/>
        </w:rPr>
      </w:pPr>
    </w:p>
    <w:p>
      <w:pPr>
        <w:jc w:val="both"/>
        <w:rPr>
          <w:rFonts w:ascii="Verdana" w:hAnsi="Verdana"/>
          <w:lang w:val="fr-BE"/>
        </w:rPr>
      </w:pPr>
      <w:r>
        <w:rPr>
          <w:rFonts w:ascii="Verdana" w:hAnsi="Verdana"/>
          <w:u w:val="single"/>
          <w:lang w:val="fr-BE"/>
        </w:rPr>
        <w:t>Attention</w:t>
      </w:r>
      <w:r>
        <w:rPr>
          <w:rFonts w:ascii="Verdana" w:hAnsi="Verdana"/>
          <w:lang w:val="fr-BE"/>
        </w:rPr>
        <w:t xml:space="preserve"> : </w:t>
      </w:r>
    </w:p>
    <w:p>
      <w:pPr>
        <w:jc w:val="both"/>
        <w:rPr>
          <w:rFonts w:ascii="Verdana" w:hAnsi="Verdana"/>
          <w:lang w:val="fr-BE"/>
        </w:rPr>
      </w:pPr>
    </w:p>
    <w:p>
      <w:pPr>
        <w:pStyle w:val="Paragraphedeliste"/>
        <w:numPr>
          <w:ilvl w:val="0"/>
          <w:numId w:val="25"/>
        </w:numPr>
        <w:jc w:val="both"/>
        <w:rPr>
          <w:rFonts w:ascii="Verdana" w:hAnsi="Verdana"/>
          <w:lang w:val="fr-BE"/>
        </w:rPr>
      </w:pPr>
      <w:r>
        <w:rPr>
          <w:rFonts w:ascii="Verdana" w:hAnsi="Verdana"/>
          <w:lang w:val="fr-BE"/>
        </w:rPr>
        <w:t>les adresses mail communiquées dans le rapport doivent, idéalement, être des adresses génériques.  Si ce n’est pas le cas et que l’adresse mail reprend un nom et/ou prénom, il vous est demandé de donner votre accord pour que cette adresse puisse aussi servir pour l’envoi d’informations diverses par le Service de la Lecture publique (via un mailing à l’ensemble de la liste) et puisse être transmise à toute personne qui souhaite contacter les bibliothèques du Réseau public de la Lecture.</w:t>
      </w:r>
    </w:p>
    <w:p>
      <w:pPr>
        <w:pStyle w:val="Paragraphedeliste"/>
        <w:numPr>
          <w:ilvl w:val="0"/>
          <w:numId w:val="25"/>
        </w:numPr>
        <w:jc w:val="both"/>
        <w:rPr>
          <w:rFonts w:ascii="Verdana" w:hAnsi="Verdana"/>
        </w:rPr>
      </w:pPr>
      <w:r>
        <w:rPr>
          <w:rFonts w:ascii="Verdana" w:hAnsi="Verdana"/>
        </w:rPr>
        <w:t>Seuls les champs marqués en gras doivent être obligatoirement complétés.  Les autres champs doivent être complétés seulement si des modifications ont eu lieu en 2022.</w:t>
      </w:r>
    </w:p>
    <w:p>
      <w:pPr>
        <w:jc w:val="both"/>
        <w:rPr>
          <w:rFonts w:ascii="Verdana" w:hAnsi="Verdana"/>
        </w:rPr>
      </w:pPr>
    </w:p>
    <w:p>
      <w:pPr>
        <w:jc w:val="both"/>
        <w:rPr>
          <w:rFonts w:ascii="Verdana" w:hAnsi="Verdana"/>
          <w:b/>
        </w:rPr>
      </w:pPr>
      <w:r>
        <w:rPr>
          <w:rFonts w:ascii="Verdana" w:hAnsi="Verdana"/>
          <w:b/>
        </w:rPr>
        <w:t>Quelques précisions</w:t>
      </w:r>
    </w:p>
    <w:p>
      <w:pPr>
        <w:jc w:val="both"/>
        <w:rPr>
          <w:rFonts w:ascii="Verdana" w:hAnsi="Verdana"/>
        </w:rPr>
      </w:pPr>
      <w:r>
        <w:rPr>
          <w:rFonts w:ascii="Verdana" w:hAnsi="Verdana"/>
        </w:rPr>
        <w:t xml:space="preserve"> </w:t>
      </w:r>
    </w:p>
    <w:p>
      <w:pPr>
        <w:pStyle w:val="Titre3"/>
        <w:jc w:val="both"/>
        <w:rPr>
          <w:rFonts w:ascii="Verdana" w:hAnsi="Verdana"/>
          <w:sz w:val="20"/>
          <w:u w:val="single"/>
        </w:rPr>
      </w:pPr>
      <w:r>
        <w:rPr>
          <w:rFonts w:ascii="Verdana" w:hAnsi="Verdana"/>
          <w:sz w:val="20"/>
          <w:u w:val="single"/>
        </w:rPr>
        <w:t>Coordonnées de la bibliothèque/</w:t>
      </w:r>
      <w:r>
        <w:rPr>
          <w:rFonts w:ascii="Verdana" w:hAnsi="Verdana"/>
          <w:color w:val="FF0000"/>
          <w:sz w:val="20"/>
          <w:u w:val="single"/>
        </w:rPr>
        <w:t xml:space="preserve"> </w:t>
      </w:r>
      <w:r>
        <w:rPr>
          <w:rFonts w:ascii="Verdana" w:hAnsi="Verdana"/>
          <w:sz w:val="20"/>
          <w:u w:val="single"/>
        </w:rPr>
        <w:t xml:space="preserve">de l’Opérateur </w:t>
      </w:r>
    </w:p>
    <w:p>
      <w:pPr>
        <w:jc w:val="both"/>
        <w:rPr>
          <w:rFonts w:ascii="Verdana" w:hAnsi="Verdana"/>
          <w:sz w:val="22"/>
          <w:szCs w:val="22"/>
        </w:rPr>
      </w:pPr>
    </w:p>
    <w:p>
      <w:pPr>
        <w:pStyle w:val="Paragraphedeliste"/>
        <w:numPr>
          <w:ilvl w:val="0"/>
          <w:numId w:val="27"/>
        </w:numPr>
        <w:jc w:val="both"/>
        <w:rPr>
          <w:rFonts w:ascii="Verdana" w:hAnsi="Verdana"/>
        </w:rPr>
      </w:pPr>
      <w:r>
        <w:rPr>
          <w:rFonts w:ascii="Verdana" w:hAnsi="Verdana"/>
          <w:i/>
        </w:rPr>
        <w:t>Type d’opérateur</w:t>
      </w:r>
      <w:r>
        <w:rPr>
          <w:rFonts w:ascii="Verdana" w:hAnsi="Verdana"/>
        </w:rPr>
        <w:t xml:space="preserve"> : Locale, locale encyclopédique, itinérante, spéciale, opérateur d’appui ou ORUA : Sélectionnez le type d’opérateur à l’aide du menu déroulant. </w:t>
      </w:r>
    </w:p>
    <w:p>
      <w:pPr>
        <w:pStyle w:val="Titre3"/>
        <w:jc w:val="both"/>
        <w:rPr>
          <w:rFonts w:ascii="Verdana" w:hAnsi="Verdana"/>
          <w:sz w:val="22"/>
          <w:szCs w:val="22"/>
          <w:u w:val="single"/>
        </w:rPr>
      </w:pPr>
    </w:p>
    <w:p>
      <w:pPr>
        <w:pStyle w:val="Titre3"/>
        <w:jc w:val="both"/>
        <w:rPr>
          <w:rFonts w:ascii="Verdana" w:hAnsi="Verdana"/>
          <w:sz w:val="20"/>
          <w:u w:val="single"/>
        </w:rPr>
      </w:pPr>
      <w:r>
        <w:rPr>
          <w:rFonts w:ascii="Verdana" w:hAnsi="Verdana"/>
          <w:sz w:val="20"/>
          <w:u w:val="single"/>
        </w:rPr>
        <w:t xml:space="preserve">Coordonnées du pouvoir organisateur </w:t>
      </w:r>
    </w:p>
    <w:p>
      <w:pPr>
        <w:jc w:val="both"/>
        <w:rPr>
          <w:rFonts w:ascii="Verdana" w:hAnsi="Verdana"/>
        </w:rPr>
      </w:pPr>
    </w:p>
    <w:p>
      <w:pPr>
        <w:pStyle w:val="Paragraphedeliste"/>
        <w:numPr>
          <w:ilvl w:val="0"/>
          <w:numId w:val="26"/>
        </w:numPr>
        <w:jc w:val="both"/>
        <w:rPr>
          <w:rFonts w:ascii="Verdana" w:hAnsi="Verdana"/>
        </w:rPr>
      </w:pPr>
      <w:r>
        <w:rPr>
          <w:rFonts w:ascii="Verdana" w:hAnsi="Verdana"/>
          <w:i/>
        </w:rPr>
        <w:t>Type de PO</w:t>
      </w:r>
      <w:r>
        <w:rPr>
          <w:rFonts w:ascii="Verdana" w:hAnsi="Verdana"/>
        </w:rPr>
        <w:t xml:space="preserve"> : Commune, ASBL ou Province : Sélectionnez le type de PO à l’aide du menu déroulant. </w:t>
      </w:r>
    </w:p>
    <w:p>
      <w:pPr>
        <w:jc w:val="both"/>
        <w:rPr>
          <w:rFonts w:ascii="Verdana" w:hAnsi="Verdana"/>
          <w:sz w:val="24"/>
        </w:rPr>
      </w:pPr>
    </w:p>
    <w:p>
      <w:pPr>
        <w:pStyle w:val="Paragraphedeliste"/>
        <w:numPr>
          <w:ilvl w:val="0"/>
          <w:numId w:val="26"/>
        </w:numPr>
        <w:jc w:val="both"/>
        <w:rPr>
          <w:rFonts w:ascii="Verdana" w:hAnsi="Verdana"/>
          <w:sz w:val="24"/>
        </w:rPr>
      </w:pPr>
      <w:r>
        <w:rPr>
          <w:rFonts w:ascii="Verdana" w:hAnsi="Verdana"/>
          <w:i/>
        </w:rPr>
        <w:t>Personne de contact</w:t>
      </w:r>
      <w:r>
        <w:rPr>
          <w:rFonts w:ascii="Verdana" w:hAnsi="Verdana"/>
        </w:rPr>
        <w:t> : Précisez le nom de la personne mandatée pour représenter le PO et qui peut être contactée directement par le Service de la Lecture publique.</w:t>
      </w:r>
      <w:r>
        <w:rPr>
          <w:rFonts w:ascii="Verdana" w:hAnsi="Verdana"/>
          <w:sz w:val="24"/>
        </w:rPr>
        <w:t xml:space="preserve"> </w:t>
      </w:r>
    </w:p>
    <w:p>
      <w:pPr>
        <w:jc w:val="both"/>
        <w:rPr>
          <w:rFonts w:ascii="Verdana" w:hAnsi="Verdana"/>
        </w:rPr>
      </w:pPr>
    </w:p>
    <w:p>
      <w:pPr>
        <w:pStyle w:val="Paragraphedeliste"/>
        <w:numPr>
          <w:ilvl w:val="0"/>
          <w:numId w:val="26"/>
        </w:numPr>
        <w:jc w:val="both"/>
        <w:rPr>
          <w:rFonts w:ascii="Verdana" w:hAnsi="Verdana"/>
        </w:rPr>
      </w:pPr>
      <w:r>
        <w:rPr>
          <w:rFonts w:ascii="Verdana" w:hAnsi="Verdana"/>
          <w:i/>
        </w:rPr>
        <w:t>Identifiant national</w:t>
      </w:r>
      <w:r>
        <w:rPr>
          <w:rFonts w:ascii="Verdana" w:hAnsi="Verdana"/>
        </w:rPr>
        <w:t> : Indiquez le numéro d’identification nationale sous lequel l’opérateur culturel est répertorié au sein de la Banque Carrefour des entreprises  (</w:t>
      </w:r>
      <w:proofErr w:type="spellStart"/>
      <w:r>
        <w:rPr>
          <w:rFonts w:ascii="Verdana" w:hAnsi="Verdana"/>
        </w:rPr>
        <w:t>num</w:t>
      </w:r>
      <w:proofErr w:type="spellEnd"/>
      <w:r>
        <w:rPr>
          <w:rFonts w:ascii="Verdana" w:hAnsi="Verdana"/>
        </w:rPr>
        <w:t xml:space="preserve"> BCE). </w:t>
      </w:r>
    </w:p>
    <w:p>
      <w:pPr>
        <w:jc w:val="both"/>
        <w:rPr>
          <w:rFonts w:ascii="Verdana" w:hAnsi="Verdana"/>
        </w:rPr>
      </w:pPr>
    </w:p>
    <w:p>
      <w:pPr>
        <w:pStyle w:val="Paragraphedeliste"/>
        <w:numPr>
          <w:ilvl w:val="0"/>
          <w:numId w:val="26"/>
        </w:numPr>
        <w:jc w:val="both"/>
        <w:rPr>
          <w:rFonts w:ascii="Verdana" w:hAnsi="Verdana"/>
        </w:rPr>
      </w:pPr>
      <w:r>
        <w:rPr>
          <w:rFonts w:ascii="Verdana" w:hAnsi="Verdana"/>
          <w:i/>
        </w:rPr>
        <w:lastRenderedPageBreak/>
        <w:t>N° ONSS  ou ONSS APL</w:t>
      </w:r>
      <w:r>
        <w:rPr>
          <w:rFonts w:ascii="Verdana" w:hAnsi="Verdana"/>
        </w:rPr>
        <w:t>: indiquez le numéro d’immatriculation de l’opérateur enregistré auprès de l’Office National de la Sécurité Sociale.</w:t>
      </w:r>
    </w:p>
    <w:p>
      <w:pPr>
        <w:jc w:val="both"/>
        <w:rPr>
          <w:rFonts w:ascii="Verdana" w:hAnsi="Verdana"/>
        </w:rPr>
      </w:pPr>
    </w:p>
    <w:p>
      <w:pPr>
        <w:pStyle w:val="Titre2"/>
        <w:jc w:val="both"/>
        <w:rPr>
          <w:rFonts w:ascii="Verdana" w:hAnsi="Verdana"/>
          <w:b w:val="0"/>
          <w:sz w:val="22"/>
          <w:szCs w:val="22"/>
        </w:rPr>
      </w:pPr>
      <w:r>
        <w:rPr>
          <w:rFonts w:ascii="Verdana" w:hAnsi="Verdana"/>
          <w:b w:val="0"/>
          <w:i w:val="0"/>
          <w:sz w:val="22"/>
          <w:szCs w:val="22"/>
        </w:rPr>
        <w:t>1</w:t>
      </w:r>
      <w:r>
        <w:rPr>
          <w:rFonts w:ascii="Verdana" w:hAnsi="Verdana"/>
          <w:b w:val="0"/>
          <w:bCs/>
          <w:i w:val="0"/>
          <w:iCs/>
          <w:sz w:val="22"/>
          <w:szCs w:val="22"/>
        </w:rPr>
        <w:t>.2.</w:t>
      </w:r>
      <w:r>
        <w:rPr>
          <w:rFonts w:ascii="Verdana" w:hAnsi="Verdana"/>
          <w:b w:val="0"/>
          <w:bCs/>
          <w:iCs/>
          <w:sz w:val="22"/>
          <w:szCs w:val="22"/>
        </w:rPr>
        <w:t xml:space="preserve"> </w:t>
      </w:r>
      <w:r>
        <w:rPr>
          <w:rFonts w:ascii="Verdana" w:hAnsi="Verdana"/>
          <w:b w:val="0"/>
          <w:bCs/>
          <w:i w:val="0"/>
          <w:iCs/>
          <w:sz w:val="22"/>
          <w:szCs w:val="22"/>
        </w:rPr>
        <w:t xml:space="preserve">Personnel </w:t>
      </w:r>
      <w:proofErr w:type="spellStart"/>
      <w:r>
        <w:rPr>
          <w:rFonts w:ascii="Verdana" w:hAnsi="Verdana"/>
          <w:b w:val="0"/>
          <w:bCs/>
          <w:i w:val="0"/>
          <w:iCs/>
          <w:sz w:val="22"/>
          <w:szCs w:val="22"/>
        </w:rPr>
        <w:t>subventionnable</w:t>
      </w:r>
      <w:proofErr w:type="spellEnd"/>
      <w:r>
        <w:rPr>
          <w:rFonts w:ascii="Verdana" w:hAnsi="Verdana"/>
          <w:b w:val="0"/>
          <w:bCs/>
          <w:i w:val="0"/>
          <w:iCs/>
          <w:sz w:val="22"/>
          <w:szCs w:val="22"/>
        </w:rPr>
        <w:t xml:space="preserve"> </w:t>
      </w:r>
    </w:p>
    <w:p>
      <w:pPr>
        <w:jc w:val="both"/>
        <w:rPr>
          <w:rFonts w:ascii="Verdana" w:hAnsi="Verdana"/>
          <w:lang w:val="fr-BE"/>
        </w:rPr>
      </w:pPr>
    </w:p>
    <w:p>
      <w:pPr>
        <w:jc w:val="both"/>
        <w:rPr>
          <w:rFonts w:ascii="Verdana" w:hAnsi="Verdana"/>
          <w:lang w:val="fr-BE"/>
        </w:rPr>
      </w:pPr>
      <w:r>
        <w:rPr>
          <w:rFonts w:ascii="Verdana" w:hAnsi="Verdana"/>
          <w:lang w:val="fr-BE"/>
        </w:rPr>
        <w:t xml:space="preserve">Les informations qui sont demandées dans cette fiche sont utiles au Service de la Lecture publique afin de contrôler la justification des subventions « permanent » mais aussi afin de compléter / corriger sa base de données des bibliothèques faisant partie du Réseau public de la Lecture et à des fins statistiques.  </w:t>
      </w:r>
    </w:p>
    <w:p>
      <w:pPr>
        <w:jc w:val="both"/>
        <w:rPr>
          <w:rFonts w:ascii="Verdana" w:hAnsi="Verdana"/>
        </w:rPr>
      </w:pPr>
    </w:p>
    <w:p>
      <w:pPr>
        <w:jc w:val="both"/>
        <w:rPr>
          <w:rFonts w:ascii="Verdana" w:hAnsi="Verdana"/>
        </w:rPr>
      </w:pPr>
      <w:r>
        <w:rPr>
          <w:rFonts w:ascii="Verdana" w:hAnsi="Verdana"/>
        </w:rPr>
        <w:t xml:space="preserve">Il est demandé de remplir une fiche individuelle pour chaque membre du personnel qui doit servir à la justification des subventions « Permanent » et de fonctionnement et d’activités. </w:t>
      </w:r>
    </w:p>
    <w:p>
      <w:pPr>
        <w:jc w:val="both"/>
        <w:rPr>
          <w:rFonts w:ascii="Verdana" w:hAnsi="Verdana"/>
        </w:rPr>
      </w:pPr>
    </w:p>
    <w:p>
      <w:pPr>
        <w:jc w:val="both"/>
        <w:rPr>
          <w:rFonts w:ascii="Verdana" w:hAnsi="Verdana"/>
        </w:rPr>
      </w:pPr>
      <w:r>
        <w:rPr>
          <w:rFonts w:ascii="Verdana" w:hAnsi="Verdana"/>
        </w:rPr>
        <w:t xml:space="preserve">Deux cas de figure :  </w:t>
      </w:r>
    </w:p>
    <w:p>
      <w:pPr>
        <w:pStyle w:val="Paragraphedeliste"/>
        <w:numPr>
          <w:ilvl w:val="0"/>
          <w:numId w:val="25"/>
        </w:numPr>
        <w:jc w:val="both"/>
        <w:rPr>
          <w:rFonts w:ascii="Verdana" w:hAnsi="Verdana"/>
        </w:rPr>
      </w:pPr>
      <w:r>
        <w:rPr>
          <w:rFonts w:ascii="Verdana" w:hAnsi="Verdana"/>
        </w:rPr>
        <w:t xml:space="preserve">Soit le personnel a déjà été présenté dans le rapport financier 2021: seuls les champs en gras doivent alors être complétés. Les autres champs doivent être complétés </w:t>
      </w:r>
      <w:r>
        <w:rPr>
          <w:rFonts w:ascii="Verdana" w:hAnsi="Verdana"/>
          <w:u w:val="single"/>
        </w:rPr>
        <w:t>seulement si</w:t>
      </w:r>
      <w:r>
        <w:rPr>
          <w:rFonts w:ascii="Verdana" w:hAnsi="Verdana"/>
        </w:rPr>
        <w:t xml:space="preserve"> des changements ont eu lieu en 2022; </w:t>
      </w:r>
    </w:p>
    <w:p>
      <w:pPr>
        <w:jc w:val="both"/>
        <w:rPr>
          <w:rFonts w:ascii="Verdana" w:hAnsi="Verdana"/>
        </w:rPr>
      </w:pPr>
    </w:p>
    <w:p>
      <w:pPr>
        <w:pStyle w:val="Paragraphedeliste"/>
        <w:numPr>
          <w:ilvl w:val="0"/>
          <w:numId w:val="25"/>
        </w:numPr>
        <w:jc w:val="both"/>
        <w:rPr>
          <w:rFonts w:ascii="Verdana" w:hAnsi="Verdana"/>
        </w:rPr>
      </w:pPr>
      <w:r>
        <w:rPr>
          <w:rFonts w:ascii="Verdana" w:hAnsi="Verdana"/>
        </w:rPr>
        <w:t xml:space="preserve">Soit le personnel a été engagé en 2022 ou est présenté pour la première fois dans un rapport </w:t>
      </w:r>
      <w:proofErr w:type="gramStart"/>
      <w:r>
        <w:rPr>
          <w:rFonts w:ascii="Verdana" w:hAnsi="Verdana"/>
        </w:rPr>
        <w:t>financier  :</w:t>
      </w:r>
      <w:proofErr w:type="gramEnd"/>
      <w:r>
        <w:rPr>
          <w:rFonts w:ascii="Verdana" w:hAnsi="Verdana"/>
        </w:rPr>
        <w:t xml:space="preserve"> </w:t>
      </w:r>
      <w:r>
        <w:rPr>
          <w:rFonts w:ascii="Verdana" w:hAnsi="Verdana"/>
          <w:u w:val="single"/>
        </w:rPr>
        <w:t>tous les champs</w:t>
      </w:r>
      <w:r>
        <w:rPr>
          <w:rFonts w:ascii="Verdana" w:hAnsi="Verdana"/>
        </w:rPr>
        <w:t xml:space="preserve"> de la fiche individuelle doivent être complétés.  </w:t>
      </w:r>
    </w:p>
    <w:p>
      <w:pPr>
        <w:jc w:val="both"/>
        <w:rPr>
          <w:rFonts w:ascii="Verdana" w:hAnsi="Verdana"/>
          <w:b/>
        </w:rPr>
      </w:pPr>
    </w:p>
    <w:p>
      <w:pPr>
        <w:jc w:val="both"/>
        <w:rPr>
          <w:rFonts w:ascii="Verdana" w:hAnsi="Verdana"/>
          <w:b/>
        </w:rPr>
      </w:pPr>
      <w:r>
        <w:rPr>
          <w:rFonts w:ascii="Verdana" w:hAnsi="Verdana"/>
          <w:b/>
        </w:rPr>
        <w:t xml:space="preserve">Quelques précisions </w:t>
      </w:r>
    </w:p>
    <w:p>
      <w:pPr>
        <w:jc w:val="both"/>
        <w:rPr>
          <w:rFonts w:ascii="Verdana" w:hAnsi="Verdana"/>
        </w:rPr>
      </w:pPr>
    </w:p>
    <w:p>
      <w:pPr>
        <w:pStyle w:val="Paragraphedeliste"/>
        <w:numPr>
          <w:ilvl w:val="0"/>
          <w:numId w:val="30"/>
        </w:numPr>
        <w:jc w:val="both"/>
        <w:rPr>
          <w:rFonts w:ascii="Verdana" w:hAnsi="Verdana"/>
        </w:rPr>
      </w:pPr>
      <w:r>
        <w:rPr>
          <w:rFonts w:ascii="Verdana" w:hAnsi="Verdana"/>
          <w:i/>
        </w:rPr>
        <w:t>Statut </w:t>
      </w:r>
      <w:r>
        <w:rPr>
          <w:rFonts w:ascii="Verdana" w:hAnsi="Verdana"/>
        </w:rPr>
        <w:t>: Précisez via le menu déroulant le statut du contrat du travailleur en reportant une des classifications suivantes :</w:t>
      </w:r>
    </w:p>
    <w:p>
      <w:pPr>
        <w:jc w:val="both"/>
        <w:rPr>
          <w:rFonts w:ascii="Verdana" w:hAnsi="Verdana"/>
        </w:rPr>
      </w:pPr>
    </w:p>
    <w:p>
      <w:pPr>
        <w:numPr>
          <w:ilvl w:val="0"/>
          <w:numId w:val="31"/>
        </w:numPr>
        <w:jc w:val="both"/>
        <w:rPr>
          <w:rFonts w:ascii="Verdana" w:hAnsi="Verdana"/>
        </w:rPr>
      </w:pPr>
      <w:r>
        <w:rPr>
          <w:rFonts w:ascii="Verdana" w:hAnsi="Verdana"/>
        </w:rPr>
        <w:t>agent statutaire définitif ;</w:t>
      </w:r>
    </w:p>
    <w:p>
      <w:pPr>
        <w:numPr>
          <w:ilvl w:val="0"/>
          <w:numId w:val="31"/>
        </w:numPr>
        <w:jc w:val="both"/>
        <w:rPr>
          <w:rFonts w:ascii="Verdana" w:hAnsi="Verdana"/>
        </w:rPr>
      </w:pPr>
      <w:r>
        <w:rPr>
          <w:rFonts w:ascii="Verdana" w:hAnsi="Verdana"/>
        </w:rPr>
        <w:t>agent statutaire temporaire ;</w:t>
      </w:r>
    </w:p>
    <w:p>
      <w:pPr>
        <w:numPr>
          <w:ilvl w:val="0"/>
          <w:numId w:val="31"/>
        </w:numPr>
        <w:jc w:val="both"/>
        <w:rPr>
          <w:rFonts w:ascii="Verdana" w:hAnsi="Verdana"/>
        </w:rPr>
      </w:pPr>
      <w:r>
        <w:rPr>
          <w:rFonts w:ascii="Verdana" w:hAnsi="Verdana"/>
        </w:rPr>
        <w:t>agent statutaire stagiaire ;</w:t>
      </w:r>
    </w:p>
    <w:p>
      <w:pPr>
        <w:numPr>
          <w:ilvl w:val="0"/>
          <w:numId w:val="31"/>
        </w:numPr>
        <w:jc w:val="both"/>
        <w:rPr>
          <w:rFonts w:ascii="Verdana" w:hAnsi="Verdana"/>
        </w:rPr>
      </w:pPr>
      <w:r>
        <w:rPr>
          <w:rFonts w:ascii="Verdana" w:hAnsi="Verdana"/>
        </w:rPr>
        <w:t>agent contractuel contrat à durée indéterminée (CDI) ;</w:t>
      </w:r>
    </w:p>
    <w:p>
      <w:pPr>
        <w:numPr>
          <w:ilvl w:val="0"/>
          <w:numId w:val="31"/>
        </w:numPr>
        <w:jc w:val="both"/>
        <w:rPr>
          <w:rFonts w:ascii="Verdana" w:hAnsi="Verdana"/>
        </w:rPr>
      </w:pPr>
      <w:r>
        <w:rPr>
          <w:rFonts w:ascii="Verdana" w:hAnsi="Verdana"/>
        </w:rPr>
        <w:t>agent contractuel contrat à durée déterminée (CDD) ;</w:t>
      </w:r>
    </w:p>
    <w:p>
      <w:pPr>
        <w:numPr>
          <w:ilvl w:val="0"/>
          <w:numId w:val="31"/>
        </w:numPr>
        <w:jc w:val="both"/>
        <w:rPr>
          <w:rFonts w:ascii="Verdana" w:hAnsi="Verdana"/>
        </w:rPr>
      </w:pPr>
      <w:r>
        <w:rPr>
          <w:rFonts w:ascii="Verdana" w:hAnsi="Verdana"/>
        </w:rPr>
        <w:t xml:space="preserve">employé CDD ou CDI ; </w:t>
      </w:r>
    </w:p>
    <w:p>
      <w:pPr>
        <w:numPr>
          <w:ilvl w:val="0"/>
          <w:numId w:val="31"/>
        </w:numPr>
        <w:jc w:val="both"/>
        <w:rPr>
          <w:rFonts w:ascii="Verdana" w:hAnsi="Verdana"/>
        </w:rPr>
      </w:pPr>
      <w:r>
        <w:rPr>
          <w:rFonts w:ascii="Verdana" w:hAnsi="Verdana"/>
        </w:rPr>
        <w:t xml:space="preserve">ouvrier CDD ou CDI ; </w:t>
      </w:r>
    </w:p>
    <w:p>
      <w:pPr>
        <w:numPr>
          <w:ilvl w:val="0"/>
          <w:numId w:val="31"/>
        </w:numPr>
        <w:jc w:val="both"/>
        <w:rPr>
          <w:rFonts w:ascii="Verdana" w:hAnsi="Verdana"/>
        </w:rPr>
      </w:pPr>
      <w:r>
        <w:rPr>
          <w:rFonts w:ascii="Verdana" w:hAnsi="Verdana"/>
        </w:rPr>
        <w:t>autre, à préciser.</w:t>
      </w:r>
    </w:p>
    <w:p>
      <w:pPr>
        <w:jc w:val="both"/>
        <w:rPr>
          <w:rFonts w:ascii="Verdana" w:hAnsi="Verdana"/>
          <w:b/>
        </w:rPr>
      </w:pPr>
    </w:p>
    <w:p>
      <w:pPr>
        <w:pStyle w:val="Paragraphedeliste"/>
        <w:numPr>
          <w:ilvl w:val="0"/>
          <w:numId w:val="28"/>
        </w:numPr>
        <w:jc w:val="both"/>
        <w:rPr>
          <w:rFonts w:ascii="Verdana" w:hAnsi="Verdana"/>
        </w:rPr>
      </w:pPr>
      <w:r>
        <w:rPr>
          <w:rFonts w:ascii="Verdana" w:hAnsi="Verdana"/>
          <w:i/>
        </w:rPr>
        <w:t>Source de financement de l’emploi</w:t>
      </w:r>
      <w:r>
        <w:rPr>
          <w:rFonts w:ascii="Verdana" w:hAnsi="Verdana"/>
        </w:rPr>
        <w:t xml:space="preserve"> : à compléter via le menu déroulant pour les emplois qui font l’objet d’un financement spécifique et déterminé : </w:t>
      </w:r>
    </w:p>
    <w:p>
      <w:pPr>
        <w:jc w:val="both"/>
        <w:rPr>
          <w:rFonts w:ascii="Verdana" w:hAnsi="Verdana"/>
        </w:rPr>
      </w:pPr>
    </w:p>
    <w:p>
      <w:pPr>
        <w:numPr>
          <w:ilvl w:val="0"/>
          <w:numId w:val="29"/>
        </w:numPr>
        <w:jc w:val="both"/>
        <w:rPr>
          <w:rFonts w:ascii="Verdana" w:hAnsi="Verdana"/>
        </w:rPr>
      </w:pPr>
      <w:r>
        <w:rPr>
          <w:rFonts w:ascii="Verdana" w:hAnsi="Verdana"/>
        </w:rPr>
        <w:t>ACS Région wallonne =ACSRW;</w:t>
      </w:r>
    </w:p>
    <w:p>
      <w:pPr>
        <w:numPr>
          <w:ilvl w:val="0"/>
          <w:numId w:val="29"/>
        </w:numPr>
        <w:jc w:val="both"/>
        <w:rPr>
          <w:rFonts w:ascii="Verdana" w:hAnsi="Verdana"/>
        </w:rPr>
      </w:pPr>
      <w:r>
        <w:rPr>
          <w:rFonts w:ascii="Verdana" w:hAnsi="Verdana"/>
        </w:rPr>
        <w:t>ACS Région de Bruxelles = ACSB;</w:t>
      </w:r>
    </w:p>
    <w:p>
      <w:pPr>
        <w:numPr>
          <w:ilvl w:val="0"/>
          <w:numId w:val="29"/>
        </w:numPr>
        <w:jc w:val="both"/>
        <w:rPr>
          <w:rFonts w:ascii="Verdana" w:hAnsi="Verdana"/>
        </w:rPr>
      </w:pPr>
      <w:r>
        <w:rPr>
          <w:rFonts w:ascii="Verdana" w:hAnsi="Verdana"/>
        </w:rPr>
        <w:t>ACS Pouvoirs publics (détachement par les villes, communes, provinces)= ACSPP;</w:t>
      </w:r>
    </w:p>
    <w:p>
      <w:pPr>
        <w:numPr>
          <w:ilvl w:val="0"/>
          <w:numId w:val="29"/>
        </w:numPr>
        <w:jc w:val="both"/>
        <w:rPr>
          <w:rFonts w:ascii="Verdana" w:hAnsi="Verdana"/>
        </w:rPr>
      </w:pPr>
      <w:proofErr w:type="spellStart"/>
      <w:r>
        <w:rPr>
          <w:rFonts w:ascii="Verdana" w:hAnsi="Verdana"/>
        </w:rPr>
        <w:t>Maribel</w:t>
      </w:r>
      <w:proofErr w:type="spellEnd"/>
      <w:r>
        <w:rPr>
          <w:rFonts w:ascii="Verdana" w:hAnsi="Verdana"/>
        </w:rPr>
        <w:t> ;</w:t>
      </w:r>
    </w:p>
    <w:p>
      <w:pPr>
        <w:numPr>
          <w:ilvl w:val="0"/>
          <w:numId w:val="29"/>
        </w:numPr>
        <w:jc w:val="both"/>
        <w:rPr>
          <w:rFonts w:ascii="Verdana" w:hAnsi="Verdana"/>
        </w:rPr>
      </w:pPr>
      <w:r>
        <w:rPr>
          <w:rFonts w:ascii="Verdana" w:hAnsi="Verdana"/>
        </w:rPr>
        <w:t>Autre financement : à préciser. </w:t>
      </w:r>
    </w:p>
    <w:p>
      <w:pPr>
        <w:jc w:val="both"/>
        <w:rPr>
          <w:rFonts w:ascii="Verdana" w:hAnsi="Verdana"/>
        </w:rPr>
      </w:pPr>
    </w:p>
    <w:p>
      <w:pPr>
        <w:pStyle w:val="Paragraphedeliste"/>
        <w:numPr>
          <w:ilvl w:val="0"/>
          <w:numId w:val="28"/>
        </w:numPr>
        <w:jc w:val="both"/>
        <w:rPr>
          <w:rFonts w:ascii="Verdana" w:hAnsi="Verdana"/>
        </w:rPr>
      </w:pPr>
      <w:r>
        <w:rPr>
          <w:rFonts w:ascii="Verdana" w:hAnsi="Verdana"/>
          <w:i/>
        </w:rPr>
        <w:t>Régime de travail</w:t>
      </w:r>
      <w:r>
        <w:rPr>
          <w:rFonts w:ascii="Verdana" w:hAnsi="Verdana"/>
        </w:rPr>
        <w:t xml:space="preserve"> : il s’agit d’indiquer via le menu déroulant le rapport, en pourcentage, entre le temps presté et un équivalent temps plein. </w:t>
      </w:r>
    </w:p>
    <w:p>
      <w:pPr>
        <w:jc w:val="both"/>
        <w:rPr>
          <w:rFonts w:ascii="Verdana" w:hAnsi="Verdana"/>
        </w:rPr>
      </w:pPr>
    </w:p>
    <w:p>
      <w:pPr>
        <w:ind w:firstLine="708"/>
        <w:jc w:val="both"/>
        <w:rPr>
          <w:rFonts w:ascii="Verdana" w:hAnsi="Verdana"/>
        </w:rPr>
      </w:pPr>
      <w:r>
        <w:rPr>
          <w:rFonts w:ascii="Verdana" w:hAnsi="Verdana"/>
        </w:rPr>
        <w:t>Ex : TP = 100%, ½ TP= 50 %, …</w:t>
      </w:r>
    </w:p>
    <w:p>
      <w:pPr>
        <w:ind w:left="708"/>
        <w:jc w:val="both"/>
        <w:rPr>
          <w:rFonts w:ascii="Verdana" w:hAnsi="Verdana"/>
        </w:rPr>
      </w:pPr>
      <w:r>
        <w:rPr>
          <w:rFonts w:ascii="Verdana" w:hAnsi="Verdana"/>
        </w:rPr>
        <w:t>Pour établir cette fraction : procéder en rapportant le nombre hebdomadaire d’heures de prestations au nombre hebdomadaire d’heures en vigueur pour un temps plein (36, 37, 38, 39 ou 40 h).</w:t>
      </w:r>
    </w:p>
    <w:p>
      <w:pPr>
        <w:jc w:val="both"/>
        <w:rPr>
          <w:rFonts w:ascii="Verdana" w:hAnsi="Verdana"/>
        </w:rPr>
      </w:pPr>
    </w:p>
    <w:p>
      <w:pPr>
        <w:pStyle w:val="Paragraphedeliste"/>
        <w:numPr>
          <w:ilvl w:val="0"/>
          <w:numId w:val="28"/>
        </w:numPr>
        <w:jc w:val="both"/>
        <w:rPr>
          <w:rFonts w:ascii="Verdana" w:hAnsi="Verdana"/>
        </w:rPr>
      </w:pPr>
      <w:r>
        <w:rPr>
          <w:rFonts w:ascii="Verdana" w:hAnsi="Verdana"/>
          <w:i/>
        </w:rPr>
        <w:t>Horaire de travail hebdomadaire</w:t>
      </w:r>
      <w:r>
        <w:rPr>
          <w:rFonts w:ascii="Verdana" w:hAnsi="Verdana"/>
        </w:rPr>
        <w:t> : horaire de travail hebdomadaire fixé de manière ordinaire par le règlement de travail.</w:t>
      </w:r>
    </w:p>
    <w:p>
      <w:pPr>
        <w:jc w:val="both"/>
        <w:rPr>
          <w:rFonts w:ascii="Verdana" w:hAnsi="Verdana"/>
        </w:rPr>
      </w:pPr>
    </w:p>
    <w:p>
      <w:pPr>
        <w:pStyle w:val="Paragraphedeliste"/>
        <w:numPr>
          <w:ilvl w:val="0"/>
          <w:numId w:val="28"/>
        </w:numPr>
        <w:jc w:val="both"/>
        <w:rPr>
          <w:rFonts w:ascii="Verdana" w:hAnsi="Verdana"/>
        </w:rPr>
      </w:pPr>
      <w:r>
        <w:rPr>
          <w:rFonts w:ascii="Verdana" w:hAnsi="Verdana"/>
          <w:i/>
        </w:rPr>
        <w:t>Prestations effectives du 01/01/ au 31/12/</w:t>
      </w:r>
      <w:r>
        <w:rPr>
          <w:rFonts w:ascii="Verdana" w:hAnsi="Verdana"/>
        </w:rPr>
        <w:t xml:space="preserve">: répondre par oui ou par non. Dans ce dernier cas, préciser </w:t>
      </w:r>
      <w:r>
        <w:rPr>
          <w:rFonts w:ascii="Verdana" w:hAnsi="Verdana"/>
          <w:i/>
        </w:rPr>
        <w:t xml:space="preserve">les périodes non prestées </w:t>
      </w:r>
      <w:r>
        <w:rPr>
          <w:rFonts w:ascii="Verdana" w:hAnsi="Verdana"/>
          <w:i/>
          <w:u w:val="single"/>
        </w:rPr>
        <w:t>et</w:t>
      </w:r>
      <w:r>
        <w:rPr>
          <w:rFonts w:ascii="Verdana" w:hAnsi="Verdana"/>
          <w:i/>
        </w:rPr>
        <w:t xml:space="preserve"> non assimilées pour le calcul de la rémunération</w:t>
      </w:r>
      <w:r>
        <w:rPr>
          <w:rFonts w:ascii="Verdana" w:hAnsi="Verdana"/>
        </w:rPr>
        <w:t xml:space="preserve">. </w:t>
      </w:r>
    </w:p>
    <w:p>
      <w:pPr>
        <w:jc w:val="both"/>
        <w:rPr>
          <w:rFonts w:ascii="Verdana" w:hAnsi="Verdana"/>
        </w:rPr>
      </w:pPr>
    </w:p>
    <w:p>
      <w:pPr>
        <w:jc w:val="both"/>
        <w:rPr>
          <w:rFonts w:ascii="Verdana" w:hAnsi="Verdana"/>
        </w:rPr>
      </w:pPr>
    </w:p>
    <w:p>
      <w:pPr>
        <w:jc w:val="both"/>
        <w:rPr>
          <w:rFonts w:ascii="Verdana" w:hAnsi="Verdana"/>
          <w:b/>
          <w:u w:val="single"/>
        </w:rPr>
      </w:pPr>
      <w:r>
        <w:rPr>
          <w:rFonts w:ascii="Verdana" w:hAnsi="Verdana"/>
          <w:b/>
          <w:u w:val="single"/>
        </w:rPr>
        <w:lastRenderedPageBreak/>
        <w:t xml:space="preserve">Attention : A joindre en annexe du présent rapport: </w:t>
      </w:r>
    </w:p>
    <w:p>
      <w:pPr>
        <w:jc w:val="both"/>
        <w:rPr>
          <w:rFonts w:ascii="Verdana" w:hAnsi="Verdana"/>
        </w:rPr>
      </w:pPr>
    </w:p>
    <w:p>
      <w:pPr>
        <w:numPr>
          <w:ilvl w:val="0"/>
          <w:numId w:val="2"/>
        </w:numPr>
        <w:tabs>
          <w:tab w:val="clear" w:pos="360"/>
          <w:tab w:val="num" w:pos="709"/>
        </w:tabs>
        <w:ind w:left="709" w:hanging="217"/>
        <w:jc w:val="both"/>
        <w:rPr>
          <w:rFonts w:ascii="Verdana" w:hAnsi="Verdana"/>
        </w:rPr>
      </w:pPr>
      <w:r>
        <w:rPr>
          <w:rFonts w:ascii="Verdana" w:hAnsi="Verdana"/>
        </w:rPr>
        <w:t xml:space="preserve">Pour toutes les personnes reprises pour justifier les subventions  « Permanent » et de fonctionnement et d’activités : le compte individuel </w:t>
      </w:r>
      <w:r>
        <w:rPr>
          <w:rFonts w:ascii="Verdana" w:hAnsi="Verdana"/>
          <w:u w:val="single"/>
        </w:rPr>
        <w:t>patronal</w:t>
      </w:r>
      <w:r>
        <w:rPr>
          <w:rFonts w:ascii="Verdana" w:hAnsi="Verdana"/>
        </w:rPr>
        <w:t xml:space="preserve"> de l’année de référence.  Le compte individuel est un document social qui contient, pour chaque période de paie, les prestations effectuées par un travailleur chez un employeur tout au long d'une année, ainsi que la rémunération versée et les cotisations patronales.  </w:t>
      </w:r>
    </w:p>
    <w:p>
      <w:pPr>
        <w:tabs>
          <w:tab w:val="left" w:pos="426"/>
        </w:tabs>
        <w:jc w:val="both"/>
        <w:rPr>
          <w:rFonts w:ascii="Verdana" w:hAnsi="Verdana"/>
        </w:rPr>
      </w:pPr>
    </w:p>
    <w:p>
      <w:pPr>
        <w:pStyle w:val="Paragraphedeliste"/>
        <w:numPr>
          <w:ilvl w:val="0"/>
          <w:numId w:val="33"/>
        </w:numPr>
        <w:ind w:left="708"/>
        <w:jc w:val="both"/>
        <w:rPr>
          <w:rFonts w:ascii="Verdana" w:hAnsi="Verdana"/>
          <w:lang w:val="fr-BE"/>
        </w:rPr>
      </w:pPr>
      <w:r>
        <w:rPr>
          <w:rFonts w:ascii="Verdana" w:hAnsi="Verdana"/>
        </w:rPr>
        <w:t xml:space="preserve">Pour les personnes reprises pour </w:t>
      </w:r>
      <w:r>
        <w:rPr>
          <w:rFonts w:ascii="Verdana" w:hAnsi="Verdana"/>
          <w:b/>
        </w:rPr>
        <w:t xml:space="preserve">la première fois </w:t>
      </w:r>
      <w:r>
        <w:rPr>
          <w:rFonts w:ascii="Verdana" w:hAnsi="Verdana"/>
        </w:rPr>
        <w:t>pour justifier la subvention « Permanent » : la copie du diplôme ou la copie du PV du jury de sélection.</w:t>
      </w:r>
    </w:p>
    <w:p>
      <w:pPr>
        <w:pStyle w:val="Paragraphedeliste"/>
        <w:ind w:left="708"/>
        <w:jc w:val="both"/>
        <w:rPr>
          <w:rFonts w:ascii="Verdana" w:hAnsi="Verdana"/>
          <w:lang w:val="fr-BE"/>
        </w:rPr>
      </w:pPr>
    </w:p>
    <w:p>
      <w:pPr>
        <w:pStyle w:val="Paragraphedeliste"/>
        <w:numPr>
          <w:ilvl w:val="0"/>
          <w:numId w:val="33"/>
        </w:numPr>
        <w:ind w:left="708"/>
        <w:jc w:val="both"/>
        <w:rPr>
          <w:rFonts w:ascii="Verdana" w:hAnsi="Verdana"/>
          <w:lang w:val="fr-BE"/>
        </w:rPr>
      </w:pPr>
      <w:r>
        <w:rPr>
          <w:rFonts w:ascii="Verdana" w:hAnsi="Verdana"/>
        </w:rPr>
        <w:t>En ce qui concerne les animateurs :</w:t>
      </w:r>
      <w:r>
        <w:rPr>
          <w:rFonts w:ascii="Verdana" w:hAnsi="Verdana"/>
          <w:lang w:val="fr-BE"/>
        </w:rPr>
        <w:t xml:space="preserve"> la preuve du fait que la personne concernée a été subventionnée comme animateur dans une autre institution agréée par la FWB (un simple courrier du Service concerné ou une copie du RF fourni à l’époque à celui-ci, …).</w:t>
      </w:r>
    </w:p>
    <w:p>
      <w:pPr>
        <w:jc w:val="both"/>
        <w:rPr>
          <w:rFonts w:ascii="Verdana" w:hAnsi="Verdana"/>
        </w:rPr>
      </w:pPr>
    </w:p>
    <w:p>
      <w:pPr>
        <w:pStyle w:val="Titre2"/>
        <w:jc w:val="both"/>
        <w:rPr>
          <w:rFonts w:ascii="Verdana" w:hAnsi="Verdana"/>
          <w:b w:val="0"/>
          <w:bCs/>
          <w:i w:val="0"/>
          <w:iCs/>
          <w:sz w:val="22"/>
          <w:szCs w:val="22"/>
        </w:rPr>
      </w:pPr>
      <w:r>
        <w:rPr>
          <w:rFonts w:ascii="Verdana" w:hAnsi="Verdana"/>
          <w:b w:val="0"/>
          <w:bCs/>
          <w:i w:val="0"/>
          <w:iCs/>
          <w:sz w:val="22"/>
          <w:szCs w:val="22"/>
        </w:rPr>
        <w:t>1.3. Tableaux des traitements 1,2 et 3</w:t>
      </w:r>
    </w:p>
    <w:p>
      <w:pPr>
        <w:jc w:val="both"/>
        <w:rPr>
          <w:rFonts w:ascii="Verdana" w:hAnsi="Verdana"/>
        </w:rPr>
      </w:pPr>
    </w:p>
    <w:p>
      <w:pPr>
        <w:jc w:val="both"/>
        <w:rPr>
          <w:rFonts w:ascii="Verdana" w:hAnsi="Verdana"/>
        </w:rPr>
      </w:pPr>
      <w:r>
        <w:rPr>
          <w:rFonts w:ascii="Verdana" w:hAnsi="Verdana"/>
        </w:rPr>
        <w:t xml:space="preserve">Il s’agit des tableaux récapitulatifs des traitements liquidés pour l’année de référence relatifs au  personnel subventionné par la Communauté française. Trois types de tableaux sont proposés : </w:t>
      </w:r>
    </w:p>
    <w:p>
      <w:pPr>
        <w:jc w:val="both"/>
        <w:rPr>
          <w:rFonts w:ascii="Verdana" w:hAnsi="Verdana"/>
        </w:rPr>
      </w:pPr>
    </w:p>
    <w:p>
      <w:pPr>
        <w:pStyle w:val="Paragraphedeliste"/>
        <w:numPr>
          <w:ilvl w:val="0"/>
          <w:numId w:val="34"/>
        </w:numPr>
        <w:jc w:val="both"/>
        <w:rPr>
          <w:rFonts w:ascii="Verdana" w:hAnsi="Verdana"/>
        </w:rPr>
      </w:pPr>
      <w:r>
        <w:rPr>
          <w:rFonts w:ascii="Verdana" w:hAnsi="Verdana"/>
        </w:rPr>
        <w:t>Tableau des traitements 1 : le pouvoir organisateur est l’employeur des membres du personnel mentionnés.</w:t>
      </w:r>
    </w:p>
    <w:p>
      <w:pPr>
        <w:jc w:val="both"/>
        <w:rPr>
          <w:rFonts w:ascii="Verdana" w:hAnsi="Verdana"/>
        </w:rPr>
      </w:pPr>
    </w:p>
    <w:p>
      <w:pPr>
        <w:pStyle w:val="Paragraphedeliste"/>
        <w:numPr>
          <w:ilvl w:val="0"/>
          <w:numId w:val="34"/>
        </w:numPr>
        <w:jc w:val="both"/>
        <w:rPr>
          <w:rFonts w:ascii="Verdana" w:hAnsi="Verdana"/>
        </w:rPr>
      </w:pPr>
      <w:r>
        <w:rPr>
          <w:rFonts w:ascii="Verdana" w:hAnsi="Verdana"/>
        </w:rPr>
        <w:t xml:space="preserve">Tableau des traitements 2 : le pouvoir organisateur n’est pas l’employeur. Les travailleurs sont affectés par un pouvoir public (commune, province,…) qu’il convient d’identifier : nom, code postal, localité, identifiant national, n° ONSS APL.  </w:t>
      </w:r>
    </w:p>
    <w:p>
      <w:pPr>
        <w:jc w:val="both"/>
        <w:rPr>
          <w:rFonts w:ascii="Verdana" w:hAnsi="Verdana"/>
        </w:rPr>
      </w:pPr>
    </w:p>
    <w:p>
      <w:pPr>
        <w:pStyle w:val="Paragraphedeliste"/>
        <w:numPr>
          <w:ilvl w:val="0"/>
          <w:numId w:val="34"/>
        </w:numPr>
        <w:jc w:val="both"/>
        <w:rPr>
          <w:rFonts w:ascii="Verdana" w:hAnsi="Verdana"/>
        </w:rPr>
      </w:pPr>
      <w:r>
        <w:rPr>
          <w:rFonts w:ascii="Verdana" w:hAnsi="Verdana"/>
        </w:rPr>
        <w:t>Tableau des traitements 3 : le pouvoir organisateur n’est pas l’employeur. Les travailleurs sont affectés par une personne de droit privé (association, firme,…) qu’il convient d’identifier : nom, code postal, localité, identifiant national, n° ONSS APL.</w:t>
      </w:r>
    </w:p>
    <w:p>
      <w:pPr>
        <w:jc w:val="both"/>
        <w:rPr>
          <w:rFonts w:ascii="Verdana" w:hAnsi="Verdana"/>
        </w:rPr>
      </w:pPr>
    </w:p>
    <w:p>
      <w:pPr>
        <w:jc w:val="both"/>
        <w:rPr>
          <w:rFonts w:ascii="Verdana" w:hAnsi="Verdana"/>
        </w:rPr>
      </w:pPr>
      <w:r>
        <w:rPr>
          <w:rFonts w:ascii="Verdana" w:hAnsi="Verdana"/>
          <w:u w:val="single"/>
        </w:rPr>
        <w:t>Dans les 3 cas de figure, mentionnez</w:t>
      </w:r>
      <w:r>
        <w:rPr>
          <w:rFonts w:ascii="Verdana" w:hAnsi="Verdana"/>
        </w:rPr>
        <w:t> :</w:t>
      </w:r>
    </w:p>
    <w:p>
      <w:pPr>
        <w:jc w:val="both"/>
        <w:rPr>
          <w:rFonts w:ascii="Verdana" w:hAnsi="Verdana"/>
        </w:rPr>
      </w:pPr>
    </w:p>
    <w:p>
      <w:pPr>
        <w:pStyle w:val="Paragraphedeliste"/>
        <w:numPr>
          <w:ilvl w:val="0"/>
          <w:numId w:val="35"/>
        </w:numPr>
        <w:jc w:val="both"/>
        <w:rPr>
          <w:rFonts w:ascii="Verdana" w:hAnsi="Verdana"/>
        </w:rPr>
      </w:pPr>
      <w:r>
        <w:rPr>
          <w:rFonts w:ascii="Verdana" w:hAnsi="Verdana"/>
          <w:i/>
        </w:rPr>
        <w:t>La Rémunération brute annuelle</w:t>
      </w:r>
      <w:r>
        <w:rPr>
          <w:rFonts w:ascii="Verdana" w:hAnsi="Verdana"/>
        </w:rPr>
        <w:t> : elle comprend la prime de fin d’année, le pécule de vacances et les avantages divers : la rémunération ordinaire, la rémunération afférente à des absences impliquant le maintien de la rémunération, le sursalaire, la rémunération garantie en cas de maladie ou d’accident, les allocations et indemnités, le pécule de vacances et le pécule simple de sortie ; le salaire garanti non soumis aux cotisations de sécurité sociale ;</w:t>
      </w:r>
    </w:p>
    <w:p>
      <w:pPr>
        <w:jc w:val="both"/>
        <w:rPr>
          <w:rFonts w:ascii="Verdana" w:hAnsi="Verdana"/>
        </w:rPr>
      </w:pPr>
    </w:p>
    <w:p>
      <w:pPr>
        <w:pStyle w:val="Paragraphedeliste"/>
        <w:numPr>
          <w:ilvl w:val="0"/>
          <w:numId w:val="35"/>
        </w:numPr>
        <w:jc w:val="both"/>
        <w:rPr>
          <w:rFonts w:ascii="Verdana" w:hAnsi="Verdana"/>
          <w:color w:val="FF0000"/>
        </w:rPr>
      </w:pPr>
      <w:r>
        <w:rPr>
          <w:rFonts w:ascii="Verdana" w:hAnsi="Verdana"/>
          <w:i/>
        </w:rPr>
        <w:t>Les Charges patronales </w:t>
      </w:r>
      <w:r>
        <w:rPr>
          <w:rFonts w:ascii="Verdana" w:hAnsi="Verdana"/>
        </w:rPr>
        <w:t>: cotisations patronales de sécurité sociale et autres charges patronales (intervention dans les frais de déplacement Domicile –Lieu de Travail, assurance accident de travail, frais de secrétariat social par travailleur, …)</w:t>
      </w:r>
      <w:r>
        <w:rPr>
          <w:rFonts w:ascii="Verdana" w:hAnsi="Verdana"/>
          <w:color w:val="FF0000"/>
        </w:rPr>
        <w:t xml:space="preserve"> </w:t>
      </w:r>
    </w:p>
    <w:p>
      <w:pPr>
        <w:pStyle w:val="Paragraphedeliste"/>
        <w:rPr>
          <w:rFonts w:ascii="Verdana" w:hAnsi="Verdana"/>
          <w:color w:val="FF0000"/>
        </w:rPr>
      </w:pPr>
    </w:p>
    <w:p>
      <w:pPr>
        <w:pStyle w:val="Paragraphedeliste"/>
        <w:numPr>
          <w:ilvl w:val="0"/>
          <w:numId w:val="35"/>
        </w:numPr>
        <w:jc w:val="both"/>
        <w:rPr>
          <w:rFonts w:ascii="Verdana" w:hAnsi="Verdana"/>
        </w:rPr>
      </w:pPr>
      <w:r>
        <w:rPr>
          <w:rFonts w:ascii="Verdana" w:hAnsi="Verdana"/>
        </w:rPr>
        <w:t xml:space="preserve">Les Réductions de charges patronales : il s’agit des réductions de charges accordées aux employeurs dans le cadre d’emploi subventionnés (ACS et APE). </w:t>
      </w:r>
    </w:p>
    <w:p>
      <w:pPr>
        <w:jc w:val="both"/>
        <w:rPr>
          <w:rFonts w:ascii="Verdana" w:hAnsi="Verdana"/>
        </w:rPr>
      </w:pPr>
    </w:p>
    <w:p>
      <w:pPr>
        <w:pStyle w:val="Paragraphedeliste"/>
        <w:numPr>
          <w:ilvl w:val="0"/>
          <w:numId w:val="35"/>
        </w:numPr>
        <w:jc w:val="both"/>
        <w:rPr>
          <w:rFonts w:ascii="Verdana" w:hAnsi="Verdana"/>
        </w:rPr>
      </w:pPr>
      <w:r>
        <w:rPr>
          <w:rFonts w:ascii="Verdana" w:hAnsi="Verdana"/>
          <w:i/>
        </w:rPr>
        <w:t>Les Interventions des Pouvoirs publics</w:t>
      </w:r>
      <w:r>
        <w:rPr>
          <w:rFonts w:ascii="Verdana" w:hAnsi="Verdana"/>
        </w:rPr>
        <w:t xml:space="preserve"> : s’il y a intervention de pouvoir public subventionnant, précisez la source : commune, région, Union européenne, </w:t>
      </w:r>
      <w:proofErr w:type="spellStart"/>
      <w:r>
        <w:rPr>
          <w:rFonts w:ascii="Verdana" w:hAnsi="Verdana"/>
        </w:rPr>
        <w:t>Maribel</w:t>
      </w:r>
      <w:proofErr w:type="spellEnd"/>
      <w:r>
        <w:rPr>
          <w:rFonts w:ascii="Verdana" w:hAnsi="Verdana"/>
        </w:rPr>
        <w:t xml:space="preserve">, autre, … et le montant. </w:t>
      </w:r>
    </w:p>
    <w:p>
      <w:pPr>
        <w:pStyle w:val="Paragraphedeliste"/>
        <w:rPr>
          <w:rFonts w:ascii="Verdana" w:hAnsi="Verdana"/>
        </w:rPr>
      </w:pPr>
    </w:p>
    <w:p>
      <w:pPr>
        <w:pStyle w:val="Paragraphedeliste"/>
        <w:numPr>
          <w:ilvl w:val="0"/>
          <w:numId w:val="35"/>
        </w:numPr>
        <w:jc w:val="both"/>
        <w:rPr>
          <w:rFonts w:ascii="Verdana" w:hAnsi="Verdana"/>
          <w:i/>
        </w:rPr>
      </w:pPr>
      <w:r>
        <w:rPr>
          <w:rFonts w:ascii="Verdana" w:hAnsi="Verdana"/>
          <w:i/>
        </w:rPr>
        <w:t>Temps de travail </w:t>
      </w:r>
      <w:r>
        <w:rPr>
          <w:rFonts w:ascii="Verdana" w:hAnsi="Verdana"/>
        </w:rPr>
        <w:t xml:space="preserve">: il s’agit d’indiquer en ETP (équivalent temps plein) le temps de travail réellement presté en tenant compte des périodes non prestées </w:t>
      </w:r>
      <w:r>
        <w:rPr>
          <w:rFonts w:ascii="Verdana" w:hAnsi="Verdana"/>
          <w:u w:val="single"/>
        </w:rPr>
        <w:t>et</w:t>
      </w:r>
      <w:r>
        <w:rPr>
          <w:rFonts w:ascii="Verdana" w:hAnsi="Verdana"/>
        </w:rPr>
        <w:t xml:space="preserve"> non assimilées pour le calcul de la rémunération.</w:t>
      </w:r>
      <w:r>
        <w:rPr>
          <w:rFonts w:ascii="Verdana" w:hAnsi="Verdana"/>
          <w:i/>
        </w:rPr>
        <w:t xml:space="preserve"> </w:t>
      </w:r>
    </w:p>
    <w:p>
      <w:pPr>
        <w:pStyle w:val="Paragraphedeliste"/>
        <w:rPr>
          <w:rFonts w:ascii="Verdana" w:hAnsi="Verdana"/>
          <w:i/>
        </w:rPr>
      </w:pPr>
    </w:p>
    <w:p>
      <w:pPr>
        <w:pStyle w:val="Paragraphedeliste"/>
        <w:numPr>
          <w:ilvl w:val="0"/>
          <w:numId w:val="35"/>
        </w:numPr>
        <w:jc w:val="both"/>
        <w:rPr>
          <w:rFonts w:ascii="Verdana" w:hAnsi="Verdana"/>
        </w:rPr>
      </w:pPr>
      <w:r>
        <w:rPr>
          <w:rFonts w:ascii="Verdana" w:hAnsi="Verdana"/>
          <w:i/>
        </w:rPr>
        <w:t>Intervention de la Communauté française </w:t>
      </w:r>
      <w:r>
        <w:rPr>
          <w:rFonts w:ascii="Verdana" w:hAnsi="Verdana"/>
        </w:rPr>
        <w:t xml:space="preserve">: il s’agit d’indiquer la nature de l’intervention via le menu déroulant y compris pour le personnel valorisé dans le cadre de la subvention de fonctionnement et d’activités ainsi que le </w:t>
      </w:r>
      <w:r>
        <w:rPr>
          <w:rFonts w:ascii="Verdana" w:hAnsi="Verdana"/>
          <w:u w:val="single"/>
        </w:rPr>
        <w:t>montant demandé</w:t>
      </w:r>
      <w:r>
        <w:rPr>
          <w:rFonts w:ascii="Verdana" w:hAnsi="Verdana"/>
        </w:rPr>
        <w:t>. Ce dernier doit au maximum être équivalent à 20.000 euros x temps de travail en ETP</w:t>
      </w:r>
    </w:p>
    <w:p>
      <w:pPr>
        <w:ind w:left="360"/>
        <w:jc w:val="both"/>
        <w:rPr>
          <w:rFonts w:ascii="Verdana" w:hAnsi="Verdana"/>
        </w:rPr>
      </w:pPr>
    </w:p>
    <w:p>
      <w:pPr>
        <w:jc w:val="both"/>
        <w:rPr>
          <w:rFonts w:ascii="Verdana" w:hAnsi="Verdana"/>
        </w:rPr>
      </w:pPr>
    </w:p>
    <w:p>
      <w:pPr>
        <w:jc w:val="both"/>
        <w:rPr>
          <w:rFonts w:ascii="Verdana" w:hAnsi="Verdana"/>
          <w:i/>
          <w:sz w:val="24"/>
        </w:rPr>
      </w:pPr>
    </w:p>
    <w:p>
      <w:pPr>
        <w:jc w:val="both"/>
        <w:rPr>
          <w:rFonts w:ascii="Verdana" w:hAnsi="Verdana"/>
        </w:rPr>
      </w:pPr>
      <w:r>
        <w:rPr>
          <w:rFonts w:ascii="Verdana" w:hAnsi="Verdana"/>
        </w:rPr>
        <w:t xml:space="preserve">Il s’agit de mentionner chaque membre du personnel qui sera présenté à la </w:t>
      </w:r>
      <w:proofErr w:type="spellStart"/>
      <w:r>
        <w:rPr>
          <w:rFonts w:ascii="Verdana" w:hAnsi="Verdana"/>
        </w:rPr>
        <w:t>subsidiation</w:t>
      </w:r>
      <w:proofErr w:type="spellEnd"/>
      <w:r>
        <w:rPr>
          <w:rFonts w:ascii="Verdana" w:hAnsi="Verdana"/>
        </w:rPr>
        <w:t xml:space="preserve"> pour l’année en cours (2022)</w:t>
      </w:r>
    </w:p>
    <w:p>
      <w:pPr>
        <w:jc w:val="both"/>
        <w:rPr>
          <w:rFonts w:ascii="Verdana" w:hAnsi="Verdana"/>
        </w:rPr>
      </w:pPr>
    </w:p>
    <w:p>
      <w:pPr>
        <w:jc w:val="both"/>
        <w:rPr>
          <w:rFonts w:ascii="Verdana" w:hAnsi="Verdana"/>
          <w:b/>
        </w:rPr>
      </w:pPr>
      <w:r>
        <w:rPr>
          <w:rFonts w:ascii="Verdana" w:hAnsi="Verdana"/>
          <w:b/>
        </w:rPr>
        <w:t xml:space="preserve">Quelques précisions </w:t>
      </w:r>
    </w:p>
    <w:p>
      <w:pPr>
        <w:jc w:val="both"/>
        <w:rPr>
          <w:rFonts w:ascii="Verdana" w:hAnsi="Verdana"/>
        </w:rPr>
      </w:pPr>
    </w:p>
    <w:p>
      <w:pPr>
        <w:pStyle w:val="Paragraphedeliste"/>
        <w:numPr>
          <w:ilvl w:val="0"/>
          <w:numId w:val="38"/>
        </w:numPr>
        <w:jc w:val="both"/>
        <w:rPr>
          <w:rFonts w:ascii="Verdana" w:hAnsi="Verdana"/>
        </w:rPr>
      </w:pPr>
      <w:r>
        <w:rPr>
          <w:rFonts w:ascii="Verdana" w:hAnsi="Verdana"/>
          <w:i/>
        </w:rPr>
        <w:t>Prestations</w:t>
      </w:r>
      <w:r>
        <w:rPr>
          <w:rFonts w:ascii="Verdana" w:hAnsi="Verdana"/>
        </w:rPr>
        <w:t> :</w:t>
      </w:r>
      <w:r>
        <w:rPr>
          <w:rFonts w:ascii="Verdana" w:hAnsi="Verdana"/>
          <w:i/>
          <w:sz w:val="24"/>
        </w:rPr>
        <w:t xml:space="preserve"> </w:t>
      </w:r>
      <w:r>
        <w:rPr>
          <w:rFonts w:ascii="Verdana" w:hAnsi="Verdana"/>
        </w:rPr>
        <w:t xml:space="preserve">précisez en termes de pourcentage le régime de travail de l’agent concerné : 100 % (TP), 80 % (4/5 TP), 75 % (3/4 TP), 50 % (1/2 TP). Si autre, précisez. </w:t>
      </w:r>
    </w:p>
    <w:p>
      <w:pPr>
        <w:pStyle w:val="Titre2"/>
        <w:jc w:val="both"/>
        <w:rPr>
          <w:rFonts w:ascii="Verdana" w:hAnsi="Verdana"/>
          <w:b w:val="0"/>
          <w:bCs/>
          <w:i w:val="0"/>
          <w:iCs/>
          <w:sz w:val="22"/>
          <w:szCs w:val="22"/>
        </w:rPr>
      </w:pPr>
      <w:r>
        <w:rPr>
          <w:rFonts w:ascii="Verdana" w:hAnsi="Verdana"/>
          <w:b w:val="0"/>
          <w:bCs/>
          <w:i w:val="0"/>
          <w:iCs/>
          <w:sz w:val="22"/>
          <w:szCs w:val="22"/>
        </w:rPr>
        <w:t>1.4. Personnel non subventionné</w:t>
      </w:r>
    </w:p>
    <w:p>
      <w:pPr>
        <w:jc w:val="both"/>
        <w:rPr>
          <w:rFonts w:ascii="Verdana" w:hAnsi="Verdana"/>
          <w:sz w:val="22"/>
          <w:szCs w:val="22"/>
        </w:rPr>
      </w:pPr>
    </w:p>
    <w:p>
      <w:pPr>
        <w:jc w:val="both"/>
        <w:rPr>
          <w:rFonts w:ascii="Verdana" w:hAnsi="Verdana"/>
        </w:rPr>
      </w:pPr>
      <w:r>
        <w:rPr>
          <w:rFonts w:ascii="Verdana" w:hAnsi="Verdana"/>
        </w:rPr>
        <w:t xml:space="preserve">Il s’agit de faire un choix entre les propositions suivantes : </w:t>
      </w:r>
    </w:p>
    <w:p>
      <w:pPr>
        <w:numPr>
          <w:ilvl w:val="0"/>
          <w:numId w:val="2"/>
        </w:numPr>
        <w:jc w:val="both"/>
        <w:rPr>
          <w:rFonts w:ascii="Verdana" w:hAnsi="Verdana"/>
        </w:rPr>
      </w:pPr>
      <w:r>
        <w:rPr>
          <w:rFonts w:ascii="Verdana" w:hAnsi="Verdana"/>
        </w:rPr>
        <w:t>personnel à qualification bibliothéconomique ;</w:t>
      </w:r>
    </w:p>
    <w:p>
      <w:pPr>
        <w:numPr>
          <w:ilvl w:val="0"/>
          <w:numId w:val="2"/>
        </w:numPr>
        <w:jc w:val="both"/>
        <w:rPr>
          <w:rFonts w:ascii="Verdana" w:hAnsi="Verdana"/>
        </w:rPr>
      </w:pPr>
      <w:r>
        <w:rPr>
          <w:rFonts w:ascii="Verdana" w:hAnsi="Verdana"/>
        </w:rPr>
        <w:t>personnel à qualification non bibliothéconomique ;</w:t>
      </w:r>
    </w:p>
    <w:p>
      <w:pPr>
        <w:numPr>
          <w:ilvl w:val="0"/>
          <w:numId w:val="2"/>
        </w:numPr>
        <w:jc w:val="both"/>
        <w:rPr>
          <w:rFonts w:ascii="Verdana" w:hAnsi="Verdana"/>
        </w:rPr>
      </w:pPr>
      <w:r>
        <w:rPr>
          <w:rFonts w:ascii="Verdana" w:hAnsi="Verdana"/>
        </w:rPr>
        <w:t>personnel non qualifié.</w:t>
      </w:r>
    </w:p>
    <w:p>
      <w:pPr>
        <w:pStyle w:val="Titre2"/>
        <w:jc w:val="both"/>
        <w:rPr>
          <w:rFonts w:ascii="Verdana" w:hAnsi="Verdana"/>
          <w:b w:val="0"/>
          <w:bCs/>
          <w:i w:val="0"/>
          <w:iCs/>
          <w:sz w:val="22"/>
          <w:szCs w:val="22"/>
        </w:rPr>
      </w:pPr>
      <w:r>
        <w:rPr>
          <w:rFonts w:ascii="Verdana" w:hAnsi="Verdana"/>
          <w:b w:val="0"/>
          <w:bCs/>
          <w:i w:val="0"/>
          <w:iCs/>
          <w:sz w:val="22"/>
          <w:szCs w:val="22"/>
        </w:rPr>
        <w:t>1.5. Formations</w:t>
      </w:r>
    </w:p>
    <w:p>
      <w:pPr>
        <w:jc w:val="both"/>
        <w:rPr>
          <w:rFonts w:ascii="Verdana" w:hAnsi="Verdana"/>
        </w:rPr>
      </w:pPr>
    </w:p>
    <w:p>
      <w:pPr>
        <w:jc w:val="both"/>
        <w:rPr>
          <w:rFonts w:ascii="Verdana" w:hAnsi="Verdana"/>
        </w:rPr>
      </w:pPr>
      <w:r>
        <w:rPr>
          <w:rFonts w:ascii="Verdana" w:hAnsi="Verdana"/>
        </w:rPr>
        <w:t>Il s’agit de renseigner les formations suivies par les</w:t>
      </w:r>
      <w:r>
        <w:rPr>
          <w:rFonts w:ascii="Verdana" w:hAnsi="Verdana"/>
          <w:color w:val="FF0000"/>
        </w:rPr>
        <w:t xml:space="preserve"> </w:t>
      </w:r>
      <w:r>
        <w:rPr>
          <w:rFonts w:ascii="Verdana" w:hAnsi="Verdana"/>
        </w:rPr>
        <w:t xml:space="preserve">membres du personnel permanent en 2019, 2020, 2021 et 2022. </w:t>
      </w:r>
    </w:p>
    <w:p>
      <w:pPr>
        <w:pStyle w:val="Titre1"/>
        <w:numPr>
          <w:ilvl w:val="0"/>
          <w:numId w:val="3"/>
        </w:numPr>
        <w:rPr>
          <w:rFonts w:ascii="Verdana" w:hAnsi="Verdana"/>
          <w:sz w:val="22"/>
          <w:szCs w:val="22"/>
        </w:rPr>
      </w:pPr>
      <w:r>
        <w:rPr>
          <w:rFonts w:ascii="Verdana" w:hAnsi="Verdana"/>
          <w:sz w:val="22"/>
          <w:szCs w:val="22"/>
        </w:rPr>
        <w:t>Volet « Comptabilité »</w:t>
      </w:r>
    </w:p>
    <w:p>
      <w:pPr>
        <w:jc w:val="both"/>
        <w:rPr>
          <w:rFonts w:ascii="Verdana" w:hAnsi="Verdana"/>
        </w:rPr>
      </w:pPr>
      <w:r>
        <w:rPr>
          <w:rFonts w:ascii="Verdana" w:hAnsi="Verdana"/>
        </w:rPr>
        <w:t xml:space="preserve">Ce volet comporte est composé de : </w:t>
      </w:r>
    </w:p>
    <w:p>
      <w:pPr>
        <w:pStyle w:val="Paragraphedeliste"/>
        <w:numPr>
          <w:ilvl w:val="0"/>
          <w:numId w:val="38"/>
        </w:numPr>
        <w:jc w:val="both"/>
        <w:rPr>
          <w:rFonts w:ascii="Verdana" w:hAnsi="Verdana"/>
        </w:rPr>
      </w:pPr>
      <w:r>
        <w:rPr>
          <w:rFonts w:ascii="Verdana" w:hAnsi="Verdana"/>
        </w:rPr>
        <w:t xml:space="preserve">4 modèles de comptabilité et un compte de consolidation. Si vous disposez de la version </w:t>
      </w:r>
      <w:r>
        <w:rPr>
          <w:rFonts w:ascii="Verdana" w:hAnsi="Verdana"/>
          <w:color w:val="000000" w:themeColor="text1"/>
        </w:rPr>
        <w:t xml:space="preserve">Excel du rapport, </w:t>
      </w:r>
      <w:r>
        <w:rPr>
          <w:rFonts w:ascii="Verdana" w:hAnsi="Verdana"/>
        </w:rPr>
        <w:t xml:space="preserve">vous constaterez que les totaux, les sous-totaux et le compte de consolidation sont des zones calculées. </w:t>
      </w:r>
    </w:p>
    <w:p>
      <w:pPr>
        <w:pStyle w:val="Paragraphedeliste"/>
        <w:numPr>
          <w:ilvl w:val="0"/>
          <w:numId w:val="38"/>
        </w:numPr>
        <w:jc w:val="both"/>
        <w:rPr>
          <w:rFonts w:ascii="Verdana" w:hAnsi="Verdana"/>
        </w:rPr>
      </w:pPr>
      <w:r>
        <w:rPr>
          <w:rFonts w:ascii="Verdana" w:hAnsi="Verdana"/>
        </w:rPr>
        <w:t xml:space="preserve">Un onglet « Fonctionnement et activités ». </w:t>
      </w:r>
    </w:p>
    <w:p>
      <w:pPr>
        <w:pStyle w:val="Titre2"/>
        <w:jc w:val="both"/>
        <w:rPr>
          <w:rFonts w:ascii="Verdana" w:hAnsi="Verdana"/>
          <w:b w:val="0"/>
          <w:bCs/>
          <w:i w:val="0"/>
          <w:iCs/>
          <w:sz w:val="22"/>
          <w:szCs w:val="22"/>
        </w:rPr>
      </w:pPr>
      <w:r>
        <w:rPr>
          <w:rFonts w:ascii="Verdana" w:hAnsi="Verdana"/>
          <w:b w:val="0"/>
          <w:bCs/>
          <w:i w:val="0"/>
          <w:iCs/>
          <w:sz w:val="22"/>
          <w:szCs w:val="22"/>
        </w:rPr>
        <w:t xml:space="preserve">2.1. Comptes annuels </w:t>
      </w:r>
    </w:p>
    <w:p>
      <w:pPr>
        <w:jc w:val="both"/>
        <w:rPr>
          <w:rFonts w:ascii="Verdana" w:hAnsi="Verdana"/>
        </w:rPr>
      </w:pPr>
    </w:p>
    <w:p>
      <w:pPr>
        <w:numPr>
          <w:ilvl w:val="0"/>
          <w:numId w:val="6"/>
        </w:numPr>
        <w:jc w:val="both"/>
        <w:rPr>
          <w:rFonts w:ascii="Verdana" w:hAnsi="Verdana"/>
        </w:rPr>
      </w:pPr>
      <w:r>
        <w:rPr>
          <w:rFonts w:ascii="Verdana" w:hAnsi="Verdana"/>
          <w:b/>
        </w:rPr>
        <w:t>Comptabilité générale des communes</w:t>
      </w:r>
      <w:r>
        <w:rPr>
          <w:rFonts w:ascii="Verdana" w:hAnsi="Verdana"/>
        </w:rPr>
        <w:t xml:space="preserve"> : il est demandé de compléter et de joindre  les comptes de résultats sur base du compte ordinaire et extraordinaire de la fonction 767  (annexe 2). </w:t>
      </w:r>
    </w:p>
    <w:p>
      <w:pPr>
        <w:ind w:left="1068"/>
        <w:jc w:val="both"/>
        <w:rPr>
          <w:rFonts w:ascii="Verdana" w:hAnsi="Verdana"/>
          <w:u w:val="single"/>
        </w:rPr>
      </w:pPr>
    </w:p>
    <w:p>
      <w:pPr>
        <w:ind w:left="1068"/>
        <w:jc w:val="both"/>
        <w:rPr>
          <w:rFonts w:ascii="Verdana" w:hAnsi="Verdana"/>
          <w:u w:val="single"/>
        </w:rPr>
      </w:pPr>
      <w:r>
        <w:rPr>
          <w:rFonts w:ascii="Verdana" w:hAnsi="Verdana"/>
          <w:u w:val="single"/>
        </w:rPr>
        <w:t>Comptes généraux </w:t>
      </w:r>
    </w:p>
    <w:p>
      <w:pPr>
        <w:ind w:left="1068"/>
        <w:jc w:val="both"/>
        <w:rPr>
          <w:rFonts w:ascii="Verdana" w:hAnsi="Verdana"/>
          <w:u w:val="single"/>
        </w:rPr>
      </w:pPr>
      <w:r>
        <w:rPr>
          <w:rFonts w:ascii="Verdana" w:hAnsi="Verdana"/>
          <w:u w:val="single"/>
        </w:rPr>
        <w:t xml:space="preserve"> </w:t>
      </w:r>
    </w:p>
    <w:p>
      <w:pPr>
        <w:pStyle w:val="Paragraphedeliste"/>
        <w:numPr>
          <w:ilvl w:val="0"/>
          <w:numId w:val="14"/>
        </w:numPr>
        <w:jc w:val="both"/>
        <w:rPr>
          <w:rFonts w:ascii="Verdana" w:hAnsi="Verdana"/>
        </w:rPr>
      </w:pPr>
      <w:r>
        <w:rPr>
          <w:rFonts w:ascii="Verdana" w:hAnsi="Verdana"/>
        </w:rPr>
        <w:t>En charges (comptes de classe 6), les imputations ;</w:t>
      </w:r>
    </w:p>
    <w:p>
      <w:pPr>
        <w:pStyle w:val="Paragraphedeliste"/>
        <w:numPr>
          <w:ilvl w:val="0"/>
          <w:numId w:val="14"/>
        </w:numPr>
        <w:jc w:val="both"/>
        <w:rPr>
          <w:rFonts w:ascii="Verdana" w:hAnsi="Verdana"/>
        </w:rPr>
      </w:pPr>
      <w:r>
        <w:rPr>
          <w:rFonts w:ascii="Verdana" w:hAnsi="Verdana"/>
        </w:rPr>
        <w:t>En produits (comptes de classe 7), les droits constatés nets.</w:t>
      </w:r>
    </w:p>
    <w:p>
      <w:pPr>
        <w:ind w:left="1068"/>
        <w:jc w:val="both"/>
        <w:rPr>
          <w:rFonts w:ascii="Verdana" w:hAnsi="Verdana"/>
        </w:rPr>
      </w:pPr>
    </w:p>
    <w:p>
      <w:pPr>
        <w:ind w:left="1068"/>
        <w:jc w:val="both"/>
        <w:rPr>
          <w:rFonts w:ascii="Verdana" w:hAnsi="Verdana"/>
        </w:rPr>
      </w:pPr>
      <w:r>
        <w:rPr>
          <w:rFonts w:ascii="Verdana" w:hAnsi="Verdana"/>
          <w:u w:val="single"/>
        </w:rPr>
        <w:t>Opérations de redressements</w:t>
      </w:r>
      <w:r>
        <w:rPr>
          <w:rFonts w:ascii="Verdana" w:hAnsi="Verdana"/>
        </w:rPr>
        <w:t xml:space="preserve"> : Réservé à l’Administration. Ne rien y encoder. </w:t>
      </w:r>
    </w:p>
    <w:p>
      <w:pPr>
        <w:ind w:left="1068"/>
        <w:jc w:val="both"/>
        <w:rPr>
          <w:rFonts w:ascii="Verdana" w:hAnsi="Verdana"/>
        </w:rPr>
      </w:pPr>
    </w:p>
    <w:p>
      <w:pPr>
        <w:numPr>
          <w:ilvl w:val="0"/>
          <w:numId w:val="6"/>
        </w:numPr>
        <w:jc w:val="both"/>
        <w:rPr>
          <w:rFonts w:ascii="Verdana" w:hAnsi="Verdana"/>
        </w:rPr>
      </w:pPr>
      <w:r>
        <w:rPr>
          <w:rFonts w:ascii="Verdana" w:hAnsi="Verdana"/>
          <w:b/>
        </w:rPr>
        <w:t>Comptabilité générale des provinces</w:t>
      </w:r>
      <w:r>
        <w:rPr>
          <w:rFonts w:ascii="Verdana" w:hAnsi="Verdana"/>
        </w:rPr>
        <w:t> : il est demandé de joindre et de compléter le compte de résultats sur base du compte ordinaire et extraordinaire de la fonction 767.</w:t>
      </w:r>
    </w:p>
    <w:p>
      <w:pPr>
        <w:ind w:left="1068"/>
        <w:jc w:val="both"/>
        <w:rPr>
          <w:rFonts w:ascii="Verdana" w:hAnsi="Verdana"/>
          <w:u w:val="single"/>
        </w:rPr>
      </w:pPr>
    </w:p>
    <w:p>
      <w:pPr>
        <w:ind w:left="1068"/>
        <w:jc w:val="both"/>
        <w:rPr>
          <w:rFonts w:ascii="Verdana" w:hAnsi="Verdana"/>
          <w:u w:val="single"/>
        </w:rPr>
      </w:pPr>
      <w:r>
        <w:rPr>
          <w:rFonts w:ascii="Verdana" w:hAnsi="Verdana"/>
          <w:u w:val="single"/>
        </w:rPr>
        <w:t xml:space="preserve">Comptes généraux : </w:t>
      </w:r>
    </w:p>
    <w:p>
      <w:pPr>
        <w:ind w:left="1068"/>
        <w:jc w:val="both"/>
        <w:rPr>
          <w:rFonts w:ascii="Verdana" w:hAnsi="Verdana"/>
          <w:u w:val="single"/>
        </w:rPr>
      </w:pPr>
    </w:p>
    <w:p>
      <w:pPr>
        <w:ind w:left="1068"/>
        <w:jc w:val="both"/>
        <w:rPr>
          <w:rFonts w:ascii="Verdana" w:hAnsi="Verdana"/>
        </w:rPr>
      </w:pPr>
      <w:r>
        <w:rPr>
          <w:rFonts w:ascii="Verdana" w:hAnsi="Verdana"/>
        </w:rPr>
        <w:t>En charges (comptes de classe 6), les imputations ;</w:t>
      </w:r>
    </w:p>
    <w:p>
      <w:pPr>
        <w:ind w:left="1068"/>
        <w:jc w:val="both"/>
        <w:rPr>
          <w:rFonts w:ascii="Verdana" w:hAnsi="Verdana"/>
        </w:rPr>
      </w:pPr>
      <w:r>
        <w:rPr>
          <w:rFonts w:ascii="Verdana" w:hAnsi="Verdana"/>
        </w:rPr>
        <w:t>En produits (comptes de classe 7), les droits constatés nets.</w:t>
      </w:r>
    </w:p>
    <w:p>
      <w:pPr>
        <w:ind w:left="708"/>
        <w:jc w:val="both"/>
        <w:rPr>
          <w:rFonts w:ascii="Verdana" w:hAnsi="Verdana"/>
        </w:rPr>
      </w:pPr>
    </w:p>
    <w:p>
      <w:pPr>
        <w:jc w:val="both"/>
        <w:rPr>
          <w:rFonts w:ascii="Verdana" w:hAnsi="Verdana"/>
        </w:rPr>
      </w:pPr>
    </w:p>
    <w:p>
      <w:pPr>
        <w:jc w:val="both"/>
        <w:rPr>
          <w:rFonts w:ascii="Verdana" w:hAnsi="Verdana"/>
        </w:rPr>
      </w:pPr>
      <w:r>
        <w:rPr>
          <w:rFonts w:ascii="Verdana" w:hAnsi="Verdana"/>
          <w:b/>
        </w:rPr>
        <w:t>La consolidation :</w:t>
      </w:r>
      <w:r>
        <w:rPr>
          <w:rFonts w:ascii="Verdana" w:hAnsi="Verdana"/>
        </w:rPr>
        <w:t xml:space="preserve"> à compléter lorsque le réseau comporte plusieurs pouvoirs organisateurs, il est demandé de remplir ce document qui est le reflet de la comptabilité de l’ensemble du réseau. Le cas échéant, il vous est possible de demander un formulaire mieux adapté à vos besoins. Ex : si le réseau est composé de 2 communes et 1 ASBL. </w:t>
      </w:r>
    </w:p>
    <w:p>
      <w:pPr>
        <w:jc w:val="both"/>
        <w:rPr>
          <w:rFonts w:ascii="Verdana" w:hAnsi="Verdana"/>
        </w:rPr>
      </w:pPr>
    </w:p>
    <w:p>
      <w:pPr>
        <w:jc w:val="both"/>
        <w:rPr>
          <w:rFonts w:ascii="Verdana" w:hAnsi="Verdana"/>
        </w:rPr>
      </w:pPr>
    </w:p>
    <w:p>
      <w:pPr>
        <w:jc w:val="both"/>
        <w:rPr>
          <w:rFonts w:ascii="Verdana" w:hAnsi="Verdana"/>
        </w:rPr>
      </w:pPr>
    </w:p>
    <w:p>
      <w:pPr>
        <w:jc w:val="both"/>
        <w:rPr>
          <w:rFonts w:ascii="Verdana" w:hAnsi="Verdana"/>
        </w:rPr>
      </w:pPr>
    </w:p>
    <w:p>
      <w:pPr>
        <w:pStyle w:val="Titre2"/>
        <w:numPr>
          <w:ilvl w:val="1"/>
          <w:numId w:val="6"/>
        </w:numPr>
        <w:ind w:left="567" w:hanging="567"/>
        <w:jc w:val="both"/>
        <w:rPr>
          <w:rFonts w:ascii="Verdana" w:hAnsi="Verdana"/>
          <w:b w:val="0"/>
          <w:bCs/>
          <w:i w:val="0"/>
          <w:iCs/>
          <w:sz w:val="22"/>
          <w:szCs w:val="22"/>
        </w:rPr>
      </w:pPr>
      <w:bookmarkStart w:id="0" w:name="_PictureBullets"/>
      <w:bookmarkEnd w:id="0"/>
      <w:r>
        <w:rPr>
          <w:rFonts w:ascii="Verdana" w:hAnsi="Verdana"/>
          <w:b w:val="0"/>
          <w:bCs/>
          <w:i w:val="0"/>
          <w:iCs/>
          <w:sz w:val="22"/>
          <w:szCs w:val="22"/>
        </w:rPr>
        <w:lastRenderedPageBreak/>
        <w:t xml:space="preserve">Fonctionnement et activités </w:t>
      </w:r>
    </w:p>
    <w:p>
      <w:pPr>
        <w:ind w:left="360"/>
        <w:jc w:val="both"/>
        <w:rPr>
          <w:rFonts w:ascii="Verdana" w:hAnsi="Verdana"/>
        </w:rPr>
      </w:pPr>
    </w:p>
    <w:p>
      <w:pPr>
        <w:numPr>
          <w:ilvl w:val="0"/>
          <w:numId w:val="8"/>
        </w:numPr>
        <w:jc w:val="both"/>
        <w:rPr>
          <w:rFonts w:ascii="Verdana" w:hAnsi="Verdana"/>
        </w:rPr>
      </w:pPr>
      <w:r>
        <w:rPr>
          <w:rFonts w:ascii="Verdana" w:hAnsi="Verdana"/>
          <w:i/>
          <w:u w:val="single"/>
        </w:rPr>
        <w:t>Pour l’emploi</w:t>
      </w:r>
      <w:r>
        <w:rPr>
          <w:rFonts w:ascii="Verdana" w:hAnsi="Verdana"/>
        </w:rPr>
        <w:t xml:space="preserve"> : compléter une fiche individuelle de renseignement, le tableau des traitements dans le fichier Permanents et joindre un compte individuel patronal. </w:t>
      </w:r>
    </w:p>
    <w:p>
      <w:pPr>
        <w:ind w:left="360"/>
        <w:jc w:val="both"/>
        <w:rPr>
          <w:rFonts w:ascii="Verdana" w:hAnsi="Verdana"/>
        </w:rPr>
      </w:pPr>
    </w:p>
    <w:p>
      <w:pPr>
        <w:numPr>
          <w:ilvl w:val="0"/>
          <w:numId w:val="8"/>
        </w:numPr>
        <w:jc w:val="both"/>
        <w:rPr>
          <w:rFonts w:ascii="Verdana" w:hAnsi="Verdana"/>
        </w:rPr>
      </w:pPr>
      <w:r>
        <w:rPr>
          <w:rFonts w:ascii="Verdana" w:hAnsi="Verdana"/>
          <w:i/>
          <w:u w:val="single"/>
        </w:rPr>
        <w:t>Pour les autres dépenses</w:t>
      </w:r>
      <w:r>
        <w:rPr>
          <w:rFonts w:ascii="Verdana" w:hAnsi="Verdana"/>
        </w:rPr>
        <w:t xml:space="preserve"> : joindre un extrait du grand livre comptable </w:t>
      </w:r>
      <w:r>
        <w:rPr>
          <w:rFonts w:ascii="Verdana" w:hAnsi="Verdana"/>
          <w:b/>
        </w:rPr>
        <w:t xml:space="preserve">en identifiant clairement les charges </w:t>
      </w:r>
      <w:r>
        <w:rPr>
          <w:rFonts w:ascii="Verdana" w:hAnsi="Verdana"/>
        </w:rPr>
        <w:t xml:space="preserve">présentées pour la justification de la subvention. </w:t>
      </w:r>
    </w:p>
    <w:p>
      <w:pPr>
        <w:jc w:val="both"/>
        <w:rPr>
          <w:rFonts w:ascii="Verdana" w:hAnsi="Verdana"/>
        </w:rPr>
      </w:pPr>
    </w:p>
    <w:p>
      <w:pPr>
        <w:ind w:left="708"/>
        <w:jc w:val="both"/>
        <w:rPr>
          <w:rFonts w:ascii="Verdana" w:hAnsi="Verdana"/>
        </w:rPr>
      </w:pPr>
      <w:r>
        <w:rPr>
          <w:rFonts w:ascii="Verdana" w:hAnsi="Verdana"/>
        </w:rPr>
        <w:t xml:space="preserve">Il est également possible de joindre les factures (et preuves de paiement de celles-ci) servant à la justification de la subvention, </w:t>
      </w:r>
      <w:r>
        <w:rPr>
          <w:rFonts w:ascii="Verdana" w:hAnsi="Verdana"/>
          <w:b/>
        </w:rPr>
        <w:t>classées et ordonnées, accompagnées d’un tableau récapitulatif des dépenses</w:t>
      </w:r>
      <w:r>
        <w:rPr>
          <w:rFonts w:ascii="Verdana" w:hAnsi="Verdana"/>
        </w:rPr>
        <w:t xml:space="preserve">. Le tableau récapitulatif se trouve sous l’onglet « Frais de fonctionnement ». </w:t>
      </w:r>
    </w:p>
    <w:p>
      <w:pPr>
        <w:ind w:left="360"/>
        <w:jc w:val="both"/>
        <w:rPr>
          <w:rFonts w:ascii="Verdana" w:hAnsi="Verdana"/>
        </w:rPr>
      </w:pPr>
    </w:p>
    <w:p>
      <w:pPr>
        <w:ind w:left="360"/>
        <w:jc w:val="both"/>
        <w:rPr>
          <w:rFonts w:ascii="Verdana" w:hAnsi="Verdana"/>
        </w:rPr>
      </w:pPr>
      <w:r>
        <w:rPr>
          <w:rFonts w:ascii="Verdana" w:hAnsi="Verdana"/>
          <w:noProof/>
          <w:lang w:val="fr-BE" w:eastAsia="fr-BE"/>
        </w:rPr>
        <w:drawing>
          <wp:inline distT="0" distB="0" distL="0" distR="0">
            <wp:extent cx="5895975" cy="1372235"/>
            <wp:effectExtent l="19050" t="0" r="952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5895975" cy="1372235"/>
                    </a:xfrm>
                    <a:prstGeom prst="rect">
                      <a:avLst/>
                    </a:prstGeom>
                    <a:noFill/>
                    <a:ln w="1">
                      <a:noFill/>
                      <a:miter lim="800000"/>
                      <a:headEnd/>
                      <a:tailEnd/>
                    </a:ln>
                    <a:effectLst/>
                  </pic:spPr>
                </pic:pic>
              </a:graphicData>
            </a:graphic>
          </wp:inline>
        </w:drawing>
      </w:r>
    </w:p>
    <w:p>
      <w:pPr>
        <w:ind w:left="360"/>
        <w:jc w:val="both"/>
        <w:rPr>
          <w:rFonts w:ascii="Verdana" w:hAnsi="Verdana"/>
        </w:rPr>
      </w:pPr>
    </w:p>
    <w:p>
      <w:pPr>
        <w:ind w:left="360"/>
        <w:jc w:val="both"/>
        <w:rPr>
          <w:rFonts w:ascii="Verdana" w:hAnsi="Verdana"/>
        </w:rPr>
      </w:pPr>
      <w:r>
        <w:rPr>
          <w:rFonts w:ascii="Verdana" w:hAnsi="Verdana"/>
          <w:noProof/>
          <w:lang w:val="fr-BE" w:eastAsia="fr-BE"/>
        </w:rPr>
        <w:drawing>
          <wp:anchor distT="0" distB="0" distL="114300" distR="114300" simplePos="0" relativeHeight="251658240" behindDoc="0" locked="0" layoutInCell="1" allowOverlap="1">
            <wp:simplePos x="0" y="0"/>
            <wp:positionH relativeFrom="column">
              <wp:posOffset>69215</wp:posOffset>
            </wp:positionH>
            <wp:positionV relativeFrom="paragraph">
              <wp:posOffset>24130</wp:posOffset>
            </wp:positionV>
            <wp:extent cx="6515100" cy="4229100"/>
            <wp:effectExtent l="19050" t="0" r="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srcRect/>
                    <a:stretch>
                      <a:fillRect/>
                    </a:stretch>
                  </pic:blipFill>
                  <pic:spPr bwMode="auto">
                    <a:xfrm>
                      <a:off x="0" y="0"/>
                      <a:ext cx="6515100" cy="4229100"/>
                    </a:xfrm>
                    <a:prstGeom prst="rect">
                      <a:avLst/>
                    </a:prstGeom>
                    <a:noFill/>
                    <a:ln w="9525">
                      <a:noFill/>
                      <a:miter lim="800000"/>
                      <a:headEnd/>
                      <a:tailEnd/>
                    </a:ln>
                  </pic:spPr>
                </pic:pic>
              </a:graphicData>
            </a:graphic>
          </wp:anchor>
        </w:drawing>
      </w:r>
      <w:r>
        <w:rPr>
          <w:rFonts w:ascii="Verdana" w:hAnsi="Verdana"/>
          <w:noProof/>
          <w:lang w:val="fr-BE" w:eastAsia="fr-BE"/>
        </w:rPr>
        <mc:AlternateContent>
          <mc:Choice Requires="wpc">
            <w:drawing>
              <wp:inline distT="0" distB="0" distL="0" distR="0">
                <wp:extent cx="5238750" cy="2943225"/>
                <wp:effectExtent l="0" t="0" r="2540" b="2540"/>
                <wp:docPr id="32" name="Zone de dessin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Zone de dessin 32" o:spid="_x0000_s1026" editas="canvas" style="width:412.5pt;height:231.75pt;mso-position-horizontal-relative:char;mso-position-vertical-relative:line" coordsize="52387,2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387;height:29432;visibility:visible;mso-wrap-style:square">
                  <v:fill o:detectmouseclick="t"/>
                  <v:path o:connecttype="none"/>
                </v:shape>
                <w10:anchorlock/>
              </v:group>
            </w:pict>
          </mc:Fallback>
        </mc:AlternateContent>
      </w:r>
    </w:p>
    <w:p>
      <w:pPr>
        <w:ind w:left="360"/>
        <w:jc w:val="both"/>
        <w:rPr>
          <w:rFonts w:ascii="Verdana" w:hAnsi="Verdana"/>
        </w:rPr>
      </w:pPr>
    </w:p>
    <w:p>
      <w:pPr>
        <w:rPr>
          <w:rFonts w:ascii="Verdana" w:hAnsi="Verdana"/>
        </w:rPr>
      </w:pPr>
      <w:r>
        <w:rPr>
          <w:rFonts w:ascii="Verdana" w:hAnsi="Verdana"/>
        </w:rPr>
        <w:br w:type="page"/>
      </w:r>
    </w:p>
    <w:p>
      <w:pPr>
        <w:pStyle w:val="Paragraphedeliste"/>
        <w:numPr>
          <w:ilvl w:val="0"/>
          <w:numId w:val="6"/>
        </w:numPr>
        <w:tabs>
          <w:tab w:val="clear" w:pos="1068"/>
          <w:tab w:val="num" w:pos="567"/>
        </w:tabs>
        <w:ind w:hanging="1068"/>
        <w:jc w:val="both"/>
        <w:rPr>
          <w:rFonts w:ascii="Verdana" w:hAnsi="Verdana"/>
          <w:sz w:val="22"/>
          <w:szCs w:val="22"/>
        </w:rPr>
      </w:pPr>
      <w:r>
        <w:rPr>
          <w:rFonts w:ascii="Verdana" w:hAnsi="Verdana"/>
          <w:sz w:val="22"/>
          <w:szCs w:val="22"/>
        </w:rPr>
        <w:lastRenderedPageBreak/>
        <w:t xml:space="preserve">Annexes à joindre au rapport </w:t>
      </w:r>
    </w:p>
    <w:p>
      <w:pPr>
        <w:ind w:left="708"/>
        <w:jc w:val="both"/>
        <w:rPr>
          <w:rFonts w:ascii="Verdana" w:hAnsi="Verdana"/>
          <w:sz w:val="28"/>
          <w:szCs w:val="28"/>
        </w:rPr>
      </w:pPr>
    </w:p>
    <w:p>
      <w:pPr>
        <w:pStyle w:val="Paragraphedeliste"/>
        <w:numPr>
          <w:ilvl w:val="0"/>
          <w:numId w:val="39"/>
        </w:numPr>
        <w:jc w:val="both"/>
        <w:rPr>
          <w:rFonts w:ascii="Verdana" w:hAnsi="Verdana"/>
        </w:rPr>
      </w:pPr>
      <w:r>
        <w:rPr>
          <w:rFonts w:ascii="Verdana" w:hAnsi="Verdana"/>
        </w:rPr>
        <w:t xml:space="preserve">Les comptes individuels patronaux pour le personnel dont le salaire sert à justifier la subvention « Permanent » ou de fonctionnement et d’activités ; </w:t>
      </w:r>
    </w:p>
    <w:p>
      <w:pPr>
        <w:pStyle w:val="Paragraphedeliste"/>
        <w:numPr>
          <w:ilvl w:val="0"/>
          <w:numId w:val="39"/>
        </w:numPr>
        <w:jc w:val="both"/>
        <w:rPr>
          <w:rFonts w:ascii="Verdana" w:hAnsi="Verdana"/>
        </w:rPr>
      </w:pPr>
      <w:r>
        <w:rPr>
          <w:rFonts w:ascii="Verdana" w:hAnsi="Verdana"/>
        </w:rPr>
        <w:t xml:space="preserve">Pour le personnel servant pour la première fois à justifier la subvention « permanent » : copie du diplôme ou du PV de sélection par un jury ou encore la preuve que la personne a bien exercé une fonction d’animateur dans un organisme agréé par la CFWB ; </w:t>
      </w:r>
    </w:p>
    <w:p>
      <w:pPr>
        <w:pStyle w:val="Paragraphedeliste"/>
        <w:numPr>
          <w:ilvl w:val="0"/>
          <w:numId w:val="39"/>
        </w:numPr>
        <w:jc w:val="both"/>
        <w:rPr>
          <w:rFonts w:ascii="Verdana" w:hAnsi="Verdana"/>
        </w:rPr>
      </w:pPr>
      <w:r>
        <w:rPr>
          <w:rFonts w:ascii="Verdana" w:hAnsi="Verdana"/>
        </w:rPr>
        <w:t>Le grand Livre des dépenses en ayant pris soin d’indiquer (</w:t>
      </w:r>
      <w:r>
        <w:rPr>
          <w:rFonts w:ascii="Verdana" w:hAnsi="Verdana"/>
          <w:b/>
        </w:rPr>
        <w:t xml:space="preserve">au </w:t>
      </w:r>
      <w:proofErr w:type="spellStart"/>
      <w:r>
        <w:rPr>
          <w:rFonts w:ascii="Verdana" w:hAnsi="Verdana"/>
          <w:b/>
        </w:rPr>
        <w:t>stabilo</w:t>
      </w:r>
      <w:proofErr w:type="spellEnd"/>
      <w:r>
        <w:rPr>
          <w:rFonts w:ascii="Verdana" w:hAnsi="Verdana"/>
        </w:rPr>
        <w:t xml:space="preserve">) les dépenses à prendre en compte pour la justification des dépenses de fonctionnement ou les copies des factures et des preuves de paiement de celles-ci.  </w:t>
      </w:r>
    </w:p>
    <w:p>
      <w:pPr>
        <w:ind w:left="372" w:firstLine="348"/>
        <w:jc w:val="both"/>
        <w:rPr>
          <w:rFonts w:ascii="Verdana" w:hAnsi="Verdana"/>
        </w:rPr>
      </w:pPr>
    </w:p>
    <w:p>
      <w:pPr>
        <w:pStyle w:val="Paragraphedeliste"/>
        <w:numPr>
          <w:ilvl w:val="0"/>
          <w:numId w:val="6"/>
        </w:numPr>
        <w:tabs>
          <w:tab w:val="clear" w:pos="1068"/>
          <w:tab w:val="num" w:pos="567"/>
        </w:tabs>
        <w:ind w:hanging="1068"/>
        <w:jc w:val="both"/>
        <w:rPr>
          <w:rFonts w:ascii="Verdana" w:hAnsi="Verdana"/>
          <w:sz w:val="22"/>
          <w:szCs w:val="22"/>
        </w:rPr>
      </w:pPr>
      <w:r>
        <w:rPr>
          <w:rFonts w:ascii="Verdana" w:hAnsi="Verdana"/>
          <w:sz w:val="22"/>
          <w:szCs w:val="22"/>
        </w:rPr>
        <w:t xml:space="preserve">Vérifications à effectuer avant envoi du rapport au Service de la Lecture publique </w:t>
      </w:r>
    </w:p>
    <w:p>
      <w:pPr>
        <w:jc w:val="both"/>
        <w:rPr>
          <w:rFonts w:ascii="Verdana" w:hAnsi="Verdana"/>
          <w:sz w:val="28"/>
          <w:szCs w:val="28"/>
        </w:rPr>
      </w:pPr>
    </w:p>
    <w:p>
      <w:pPr>
        <w:spacing w:after="200" w:line="276" w:lineRule="auto"/>
        <w:jc w:val="center"/>
        <w:rPr>
          <w:rFonts w:ascii="Calibri" w:eastAsia="Calibri" w:hAnsi="Calibri"/>
          <w:b/>
          <w:sz w:val="22"/>
          <w:szCs w:val="22"/>
          <w:u w:val="single"/>
          <w:lang w:val="fr-BE" w:eastAsia="en-US"/>
        </w:rPr>
      </w:pPr>
      <w:r>
        <w:rPr>
          <w:rFonts w:ascii="Calibri" w:eastAsia="Calibri" w:hAnsi="Calibri"/>
          <w:b/>
          <w:sz w:val="22"/>
          <w:szCs w:val="22"/>
          <w:u w:val="single"/>
          <w:lang w:val="fr-BE" w:eastAsia="en-US"/>
        </w:rPr>
        <w:t>Check-list des documents à rendre avec le rapport financier</w:t>
      </w:r>
    </w:p>
    <w:p>
      <w:pPr>
        <w:spacing w:after="200" w:line="276" w:lineRule="auto"/>
        <w:jc w:val="center"/>
        <w:rPr>
          <w:rFonts w:ascii="Calibri" w:eastAsia="Calibri" w:hAnsi="Calibri"/>
          <w:b/>
          <w:sz w:val="22"/>
          <w:szCs w:val="22"/>
          <w:u w:val="single"/>
          <w:lang w:val="fr-BE"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7"/>
        <w:gridCol w:w="2353"/>
        <w:gridCol w:w="2544"/>
      </w:tblGrid>
      <w:tr>
        <w:tc>
          <w:tcPr>
            <w:tcW w:w="2598" w:type="pct"/>
            <w:tcBorders>
              <w:bottom w:val="single" w:sz="4" w:space="0" w:color="auto"/>
            </w:tcBorders>
            <w:shd w:val="clear" w:color="auto" w:fill="auto"/>
            <w:vAlign w:val="center"/>
          </w:tcPr>
          <w:p>
            <w:pPr>
              <w:spacing w:after="200" w:line="276" w:lineRule="auto"/>
              <w:jc w:val="center"/>
              <w:rPr>
                <w:rFonts w:ascii="Calibri" w:eastAsia="Calibri" w:hAnsi="Calibri"/>
                <w:b/>
                <w:sz w:val="22"/>
                <w:szCs w:val="22"/>
                <w:u w:val="single"/>
                <w:lang w:val="fr-BE" w:eastAsia="en-US"/>
              </w:rPr>
            </w:pPr>
          </w:p>
        </w:tc>
        <w:tc>
          <w:tcPr>
            <w:tcW w:w="1154" w:type="pct"/>
            <w:tcBorders>
              <w:bottom w:val="single" w:sz="4" w:space="0" w:color="auto"/>
            </w:tcBorders>
            <w:shd w:val="clear" w:color="auto" w:fill="auto"/>
            <w:vAlign w:val="center"/>
          </w:tcPr>
          <w:p>
            <w:pPr>
              <w:spacing w:after="200" w:line="276" w:lineRule="auto"/>
              <w:jc w:val="center"/>
              <w:rPr>
                <w:rFonts w:ascii="Calibri" w:eastAsia="Calibri" w:hAnsi="Calibri"/>
                <w:b/>
                <w:sz w:val="22"/>
                <w:szCs w:val="22"/>
                <w:u w:val="single"/>
                <w:lang w:val="fr-BE" w:eastAsia="en-US"/>
              </w:rPr>
            </w:pPr>
            <w:r>
              <w:rPr>
                <w:rFonts w:ascii="Calibri" w:eastAsia="Calibri" w:hAnsi="Calibri"/>
                <w:b/>
                <w:sz w:val="22"/>
                <w:szCs w:val="22"/>
                <w:u w:val="single"/>
                <w:lang w:val="fr-BE" w:eastAsia="en-US"/>
              </w:rPr>
              <w:t xml:space="preserve">Transmis papier </w:t>
            </w:r>
          </w:p>
        </w:tc>
        <w:tc>
          <w:tcPr>
            <w:tcW w:w="1248" w:type="pct"/>
            <w:tcBorders>
              <w:bottom w:val="single" w:sz="4" w:space="0" w:color="auto"/>
            </w:tcBorders>
            <w:shd w:val="clear" w:color="auto" w:fill="auto"/>
            <w:vAlign w:val="center"/>
          </w:tcPr>
          <w:p>
            <w:pPr>
              <w:spacing w:after="200" w:line="276" w:lineRule="auto"/>
              <w:jc w:val="center"/>
              <w:rPr>
                <w:rFonts w:ascii="Calibri" w:eastAsia="Calibri" w:hAnsi="Calibri"/>
                <w:b/>
                <w:sz w:val="22"/>
                <w:szCs w:val="22"/>
                <w:u w:val="single"/>
                <w:lang w:val="fr-BE" w:eastAsia="en-US"/>
              </w:rPr>
            </w:pPr>
            <w:r>
              <w:rPr>
                <w:rFonts w:ascii="Calibri" w:eastAsia="Calibri" w:hAnsi="Calibri"/>
                <w:b/>
                <w:sz w:val="22"/>
                <w:szCs w:val="22"/>
                <w:u w:val="single"/>
                <w:lang w:val="fr-BE" w:eastAsia="en-US"/>
              </w:rPr>
              <w:t xml:space="preserve">Transmis copie informatique </w:t>
            </w:r>
          </w:p>
        </w:tc>
      </w:tr>
      <w:tr>
        <w:tc>
          <w:tcPr>
            <w:tcW w:w="2598" w:type="pct"/>
            <w:tcBorders>
              <w:bottom w:val="dotted" w:sz="4" w:space="0" w:color="auto"/>
              <w:right w:val="single" w:sz="4" w:space="0" w:color="auto"/>
            </w:tcBorders>
            <w:shd w:val="clear" w:color="auto" w:fill="F2F2F2" w:themeFill="background1" w:themeFillShade="F2"/>
            <w:vAlign w:val="center"/>
          </w:tcPr>
          <w:p>
            <w:pPr>
              <w:spacing w:after="200" w:line="276" w:lineRule="auto"/>
              <w:jc w:val="center"/>
              <w:rPr>
                <w:rFonts w:ascii="Calibri" w:eastAsia="Calibri" w:hAnsi="Calibri"/>
                <w:b/>
                <w:sz w:val="22"/>
                <w:szCs w:val="22"/>
                <w:u w:val="single"/>
                <w:lang w:val="fr-BE" w:eastAsia="en-US"/>
              </w:rPr>
            </w:pPr>
            <w:r>
              <w:rPr>
                <w:rFonts w:ascii="Calibri" w:eastAsia="Calibri" w:hAnsi="Calibri"/>
                <w:b/>
                <w:sz w:val="22"/>
                <w:szCs w:val="22"/>
                <w:u w:val="single"/>
                <w:lang w:val="fr-BE" w:eastAsia="en-US"/>
              </w:rPr>
              <w:t xml:space="preserve">PERSONNEL  </w:t>
            </w:r>
          </w:p>
        </w:tc>
        <w:tc>
          <w:tcPr>
            <w:tcW w:w="1154" w:type="pct"/>
            <w:tcBorders>
              <w:left w:val="single" w:sz="4" w:space="0" w:color="auto"/>
              <w:bottom w:val="dotted" w:sz="4" w:space="0" w:color="auto"/>
              <w:right w:val="single" w:sz="4" w:space="0" w:color="auto"/>
            </w:tcBorders>
            <w:shd w:val="clear" w:color="auto" w:fill="F2F2F2" w:themeFill="background1" w:themeFillShade="F2"/>
            <w:vAlign w:val="center"/>
          </w:tcPr>
          <w:p>
            <w:pPr>
              <w:spacing w:after="200" w:line="276" w:lineRule="auto"/>
              <w:jc w:val="center"/>
              <w:rPr>
                <w:rFonts w:ascii="Calibri" w:eastAsia="Calibri" w:hAnsi="Calibri"/>
                <w:b/>
                <w:sz w:val="22"/>
                <w:szCs w:val="22"/>
                <w:u w:val="single"/>
                <w:lang w:val="fr-BE" w:eastAsia="en-US"/>
              </w:rPr>
            </w:pPr>
          </w:p>
        </w:tc>
        <w:tc>
          <w:tcPr>
            <w:tcW w:w="1248" w:type="pct"/>
            <w:tcBorders>
              <w:left w:val="single" w:sz="4" w:space="0" w:color="auto"/>
              <w:bottom w:val="dotted" w:sz="4" w:space="0" w:color="auto"/>
            </w:tcBorders>
            <w:shd w:val="clear" w:color="auto" w:fill="F2F2F2" w:themeFill="background1" w:themeFillShade="F2"/>
            <w:vAlign w:val="center"/>
          </w:tcPr>
          <w:p>
            <w:pPr>
              <w:spacing w:after="200" w:line="276" w:lineRule="auto"/>
              <w:jc w:val="center"/>
              <w:rPr>
                <w:rFonts w:ascii="Calibri" w:eastAsia="Calibri" w:hAnsi="Calibri"/>
                <w:b/>
                <w:sz w:val="22"/>
                <w:szCs w:val="22"/>
                <w:u w:val="single"/>
                <w:lang w:val="fr-BE" w:eastAsia="en-US"/>
              </w:rPr>
            </w:pPr>
          </w:p>
        </w:tc>
      </w:tr>
      <w:tr>
        <w:tc>
          <w:tcPr>
            <w:tcW w:w="2598" w:type="pct"/>
            <w:tcBorders>
              <w:top w:val="dotted" w:sz="4" w:space="0" w:color="auto"/>
              <w:bottom w:val="dotted" w:sz="4" w:space="0" w:color="auto"/>
              <w:right w:val="single" w:sz="4" w:space="0" w:color="auto"/>
            </w:tcBorders>
            <w:shd w:val="clear" w:color="auto" w:fill="auto"/>
            <w:vAlign w:val="center"/>
          </w:tcPr>
          <w:p>
            <w:pPr>
              <w:spacing w:after="200" w:line="276" w:lineRule="auto"/>
              <w:jc w:val="center"/>
              <w:rPr>
                <w:rFonts w:ascii="Calibri" w:eastAsia="Calibri" w:hAnsi="Calibri"/>
                <w:sz w:val="22"/>
                <w:szCs w:val="22"/>
                <w:u w:val="single"/>
                <w:lang w:val="fr-BE" w:eastAsia="en-US"/>
              </w:rPr>
            </w:pPr>
            <w:r>
              <w:rPr>
                <w:rFonts w:ascii="Calibri" w:eastAsia="Calibri" w:hAnsi="Calibri"/>
                <w:sz w:val="22"/>
                <w:szCs w:val="22"/>
                <w:lang w:val="fr-BE" w:eastAsia="en-US"/>
              </w:rPr>
              <w:t>Copie du diplôme</w:t>
            </w:r>
            <w:r>
              <w:rPr>
                <w:rFonts w:ascii="Calibri" w:eastAsia="Calibri" w:hAnsi="Calibri"/>
                <w:sz w:val="22"/>
                <w:szCs w:val="22"/>
                <w:u w:val="single"/>
                <w:lang w:val="fr-BE" w:eastAsia="en-US"/>
              </w:rPr>
              <w:t xml:space="preserve"> (</w:t>
            </w:r>
            <w:r>
              <w:rPr>
                <w:rFonts w:ascii="Calibri" w:eastAsia="Calibri" w:hAnsi="Calibri"/>
                <w:sz w:val="22"/>
                <w:szCs w:val="22"/>
                <w:lang w:val="fr-BE" w:eastAsia="en-US"/>
              </w:rPr>
              <w:t>sauf si déjà transmis précédemment</w:t>
            </w:r>
            <w:r>
              <w:rPr>
                <w:rFonts w:ascii="Calibri" w:eastAsia="Calibri" w:hAnsi="Calibri"/>
                <w:sz w:val="22"/>
                <w:szCs w:val="22"/>
                <w:u w:val="single"/>
                <w:lang w:val="fr-BE" w:eastAsia="en-US"/>
              </w:rPr>
              <w:t xml:space="preserve">) y compris pour le personnel remplaçant </w:t>
            </w:r>
          </w:p>
        </w:tc>
        <w:tc>
          <w:tcPr>
            <w:tcW w:w="1154" w:type="pct"/>
            <w:tcBorders>
              <w:top w:val="dotted" w:sz="4" w:space="0" w:color="auto"/>
              <w:left w:val="single" w:sz="4" w:space="0" w:color="auto"/>
              <w:bottom w:val="dotted" w:sz="4" w:space="0" w:color="auto"/>
              <w:right w:val="single" w:sz="4" w:space="0" w:color="auto"/>
            </w:tcBorders>
            <w:shd w:val="clear" w:color="auto" w:fill="auto"/>
            <w:vAlign w:val="center"/>
          </w:tcPr>
          <w:p>
            <w:pPr>
              <w:spacing w:after="200" w:line="276" w:lineRule="auto"/>
              <w:jc w:val="center"/>
              <w:rPr>
                <w:rFonts w:ascii="Calibri" w:eastAsia="Calibri" w:hAnsi="Calibri"/>
                <w:b/>
                <w:sz w:val="22"/>
                <w:szCs w:val="22"/>
                <w:u w:val="single"/>
                <w:lang w:val="fr-BE" w:eastAsia="en-US"/>
              </w:rPr>
            </w:pPr>
          </w:p>
        </w:tc>
        <w:tc>
          <w:tcPr>
            <w:tcW w:w="1248" w:type="pct"/>
            <w:tcBorders>
              <w:top w:val="dotted" w:sz="4" w:space="0" w:color="auto"/>
              <w:left w:val="single" w:sz="4" w:space="0" w:color="auto"/>
              <w:bottom w:val="dotted" w:sz="4" w:space="0" w:color="auto"/>
            </w:tcBorders>
            <w:shd w:val="clear" w:color="auto" w:fill="auto"/>
            <w:vAlign w:val="center"/>
          </w:tcPr>
          <w:p>
            <w:pPr>
              <w:spacing w:after="200" w:line="276" w:lineRule="auto"/>
              <w:jc w:val="center"/>
              <w:rPr>
                <w:rFonts w:ascii="Calibri" w:eastAsia="Calibri" w:hAnsi="Calibri"/>
                <w:b/>
                <w:sz w:val="22"/>
                <w:szCs w:val="22"/>
                <w:u w:val="single"/>
                <w:lang w:val="fr-BE" w:eastAsia="en-US"/>
              </w:rPr>
            </w:pPr>
          </w:p>
        </w:tc>
      </w:tr>
      <w:tr>
        <w:tc>
          <w:tcPr>
            <w:tcW w:w="2598" w:type="pct"/>
            <w:tcBorders>
              <w:top w:val="dotted" w:sz="4" w:space="0" w:color="auto"/>
              <w:bottom w:val="dotted" w:sz="4" w:space="0" w:color="auto"/>
              <w:right w:val="single" w:sz="4" w:space="0" w:color="auto"/>
            </w:tcBorders>
            <w:shd w:val="clear" w:color="auto" w:fill="auto"/>
            <w:vAlign w:val="center"/>
          </w:tcPr>
          <w:p>
            <w:pPr>
              <w:spacing w:after="200" w:line="276" w:lineRule="auto"/>
              <w:jc w:val="center"/>
              <w:rPr>
                <w:rFonts w:ascii="Calibri" w:eastAsia="Calibri" w:hAnsi="Calibri"/>
                <w:sz w:val="22"/>
                <w:szCs w:val="22"/>
                <w:u w:val="single"/>
                <w:lang w:val="fr-BE" w:eastAsia="en-US"/>
              </w:rPr>
            </w:pPr>
            <w:r>
              <w:rPr>
                <w:rFonts w:ascii="Calibri" w:eastAsia="Calibri" w:hAnsi="Calibri"/>
                <w:sz w:val="22"/>
                <w:szCs w:val="22"/>
                <w:lang w:val="fr-BE" w:eastAsia="en-US"/>
              </w:rPr>
              <w:t xml:space="preserve">Copie du PV du jury </w:t>
            </w:r>
            <w:r>
              <w:rPr>
                <w:rFonts w:ascii="Calibri" w:eastAsia="Calibri" w:hAnsi="Calibri"/>
                <w:sz w:val="22"/>
                <w:szCs w:val="22"/>
                <w:u w:val="single"/>
                <w:lang w:val="fr-BE" w:eastAsia="en-US"/>
              </w:rPr>
              <w:t>(</w:t>
            </w:r>
            <w:r>
              <w:rPr>
                <w:rFonts w:ascii="Calibri" w:eastAsia="Calibri" w:hAnsi="Calibri"/>
                <w:sz w:val="22"/>
                <w:szCs w:val="22"/>
                <w:lang w:val="fr-BE" w:eastAsia="en-US"/>
              </w:rPr>
              <w:t>sauf si déjà transmis précédemment</w:t>
            </w:r>
            <w:r>
              <w:rPr>
                <w:rFonts w:ascii="Calibri" w:eastAsia="Calibri" w:hAnsi="Calibri"/>
                <w:sz w:val="22"/>
                <w:szCs w:val="22"/>
                <w:u w:val="single"/>
                <w:lang w:val="fr-BE" w:eastAsia="en-US"/>
              </w:rPr>
              <w:t>) y compris pour le personnel remplaçant et détachés pédagogiques</w:t>
            </w:r>
          </w:p>
        </w:tc>
        <w:tc>
          <w:tcPr>
            <w:tcW w:w="1154" w:type="pct"/>
            <w:tcBorders>
              <w:top w:val="dotted" w:sz="4" w:space="0" w:color="auto"/>
              <w:left w:val="single" w:sz="4" w:space="0" w:color="auto"/>
              <w:bottom w:val="dotted" w:sz="4" w:space="0" w:color="auto"/>
              <w:right w:val="single" w:sz="4" w:space="0" w:color="auto"/>
            </w:tcBorders>
            <w:shd w:val="clear" w:color="auto" w:fill="auto"/>
            <w:vAlign w:val="center"/>
          </w:tcPr>
          <w:p>
            <w:pPr>
              <w:spacing w:after="200" w:line="276" w:lineRule="auto"/>
              <w:jc w:val="center"/>
              <w:rPr>
                <w:rFonts w:ascii="Calibri" w:eastAsia="Calibri" w:hAnsi="Calibri"/>
                <w:b/>
                <w:sz w:val="22"/>
                <w:szCs w:val="22"/>
                <w:u w:val="single"/>
                <w:lang w:val="fr-BE" w:eastAsia="en-US"/>
              </w:rPr>
            </w:pPr>
          </w:p>
        </w:tc>
        <w:tc>
          <w:tcPr>
            <w:tcW w:w="1248" w:type="pct"/>
            <w:tcBorders>
              <w:top w:val="dotted" w:sz="4" w:space="0" w:color="auto"/>
              <w:left w:val="single" w:sz="4" w:space="0" w:color="auto"/>
              <w:bottom w:val="dotted" w:sz="4" w:space="0" w:color="auto"/>
            </w:tcBorders>
            <w:shd w:val="clear" w:color="auto" w:fill="auto"/>
            <w:vAlign w:val="center"/>
          </w:tcPr>
          <w:p>
            <w:pPr>
              <w:spacing w:after="200" w:line="276" w:lineRule="auto"/>
              <w:jc w:val="center"/>
              <w:rPr>
                <w:rFonts w:ascii="Calibri" w:eastAsia="Calibri" w:hAnsi="Calibri"/>
                <w:b/>
                <w:sz w:val="22"/>
                <w:szCs w:val="22"/>
                <w:u w:val="single"/>
                <w:lang w:val="fr-BE" w:eastAsia="en-US"/>
              </w:rPr>
            </w:pPr>
          </w:p>
        </w:tc>
      </w:tr>
      <w:tr>
        <w:tc>
          <w:tcPr>
            <w:tcW w:w="2598" w:type="pct"/>
            <w:tcBorders>
              <w:top w:val="dotted" w:sz="4" w:space="0" w:color="auto"/>
              <w:bottom w:val="single" w:sz="4" w:space="0" w:color="auto"/>
              <w:right w:val="single" w:sz="4" w:space="0" w:color="auto"/>
            </w:tcBorders>
            <w:shd w:val="clear" w:color="auto" w:fill="auto"/>
            <w:vAlign w:val="center"/>
          </w:tcPr>
          <w:p>
            <w:pPr>
              <w:spacing w:after="200" w:line="276" w:lineRule="auto"/>
              <w:jc w:val="center"/>
              <w:rPr>
                <w:rFonts w:ascii="Calibri" w:eastAsia="Calibri" w:hAnsi="Calibri"/>
                <w:sz w:val="22"/>
                <w:szCs w:val="22"/>
                <w:u w:val="single"/>
                <w:lang w:val="fr-BE" w:eastAsia="en-US"/>
              </w:rPr>
            </w:pPr>
            <w:r>
              <w:rPr>
                <w:rFonts w:ascii="Calibri" w:eastAsia="Calibri" w:hAnsi="Calibri"/>
                <w:sz w:val="22"/>
                <w:szCs w:val="22"/>
                <w:lang w:val="fr-BE" w:eastAsia="en-US"/>
              </w:rPr>
              <w:t>Compte individuel patronal 2022</w:t>
            </w:r>
            <w:bookmarkStart w:id="1" w:name="_GoBack"/>
            <w:bookmarkEnd w:id="1"/>
            <w:r>
              <w:rPr>
                <w:rFonts w:ascii="Calibri" w:eastAsia="Calibri" w:hAnsi="Calibri"/>
                <w:sz w:val="22"/>
                <w:szCs w:val="22"/>
                <w:u w:val="single"/>
                <w:lang w:val="fr-BE" w:eastAsia="en-US"/>
              </w:rPr>
              <w:t xml:space="preserve"> y compris pour le personnel financé par la subvention « Activités et fonctionnement </w:t>
            </w:r>
          </w:p>
        </w:tc>
        <w:tc>
          <w:tcPr>
            <w:tcW w:w="1154" w:type="pct"/>
            <w:tcBorders>
              <w:top w:val="dotted" w:sz="4" w:space="0" w:color="auto"/>
              <w:left w:val="single" w:sz="4" w:space="0" w:color="auto"/>
              <w:bottom w:val="single" w:sz="4" w:space="0" w:color="auto"/>
              <w:right w:val="single" w:sz="4" w:space="0" w:color="auto"/>
            </w:tcBorders>
            <w:shd w:val="clear" w:color="auto" w:fill="auto"/>
            <w:vAlign w:val="center"/>
          </w:tcPr>
          <w:p>
            <w:pPr>
              <w:spacing w:after="200" w:line="276" w:lineRule="auto"/>
              <w:jc w:val="center"/>
              <w:rPr>
                <w:rFonts w:ascii="Calibri" w:eastAsia="Calibri" w:hAnsi="Calibri"/>
                <w:b/>
                <w:sz w:val="22"/>
                <w:szCs w:val="22"/>
                <w:u w:val="single"/>
                <w:lang w:val="fr-BE" w:eastAsia="en-US"/>
              </w:rPr>
            </w:pPr>
          </w:p>
        </w:tc>
        <w:tc>
          <w:tcPr>
            <w:tcW w:w="1248" w:type="pct"/>
            <w:tcBorders>
              <w:top w:val="dotted" w:sz="4" w:space="0" w:color="auto"/>
              <w:left w:val="single" w:sz="4" w:space="0" w:color="auto"/>
              <w:bottom w:val="single" w:sz="4" w:space="0" w:color="auto"/>
            </w:tcBorders>
            <w:shd w:val="clear" w:color="auto" w:fill="auto"/>
            <w:vAlign w:val="center"/>
          </w:tcPr>
          <w:p>
            <w:pPr>
              <w:spacing w:after="200" w:line="276" w:lineRule="auto"/>
              <w:jc w:val="center"/>
              <w:rPr>
                <w:rFonts w:ascii="Calibri" w:eastAsia="Calibri" w:hAnsi="Calibri"/>
                <w:b/>
                <w:sz w:val="22"/>
                <w:szCs w:val="22"/>
                <w:u w:val="single"/>
                <w:lang w:val="fr-BE" w:eastAsia="en-US"/>
              </w:rPr>
            </w:pPr>
          </w:p>
        </w:tc>
      </w:tr>
      <w:tr>
        <w:tc>
          <w:tcPr>
            <w:tcW w:w="2598" w:type="pct"/>
            <w:tcBorders>
              <w:bottom w:val="dotted" w:sz="4" w:space="0" w:color="auto"/>
              <w:right w:val="single" w:sz="4" w:space="0" w:color="auto"/>
            </w:tcBorders>
            <w:shd w:val="clear" w:color="auto" w:fill="F2F2F2" w:themeFill="background1" w:themeFillShade="F2"/>
            <w:vAlign w:val="center"/>
          </w:tcPr>
          <w:p>
            <w:pPr>
              <w:spacing w:after="200" w:line="276" w:lineRule="auto"/>
              <w:jc w:val="center"/>
              <w:rPr>
                <w:rFonts w:ascii="Calibri" w:eastAsia="Calibri" w:hAnsi="Calibri"/>
                <w:b/>
                <w:sz w:val="22"/>
                <w:szCs w:val="22"/>
                <w:u w:val="single"/>
                <w:lang w:val="fr-BE" w:eastAsia="en-US"/>
              </w:rPr>
            </w:pPr>
            <w:r>
              <w:rPr>
                <w:rFonts w:ascii="Calibri" w:eastAsia="Calibri" w:hAnsi="Calibri"/>
                <w:b/>
                <w:sz w:val="22"/>
                <w:szCs w:val="22"/>
                <w:u w:val="single"/>
                <w:lang w:val="fr-BE" w:eastAsia="en-US"/>
              </w:rPr>
              <w:t xml:space="preserve">COMPTABILITE </w:t>
            </w:r>
          </w:p>
        </w:tc>
        <w:tc>
          <w:tcPr>
            <w:tcW w:w="1154" w:type="pct"/>
            <w:tcBorders>
              <w:left w:val="single" w:sz="4" w:space="0" w:color="auto"/>
              <w:bottom w:val="dotted" w:sz="4" w:space="0" w:color="auto"/>
              <w:right w:val="single" w:sz="4" w:space="0" w:color="auto"/>
            </w:tcBorders>
            <w:shd w:val="clear" w:color="auto" w:fill="F2F2F2" w:themeFill="background1" w:themeFillShade="F2"/>
            <w:vAlign w:val="center"/>
          </w:tcPr>
          <w:p>
            <w:pPr>
              <w:spacing w:after="200" w:line="276" w:lineRule="auto"/>
              <w:jc w:val="center"/>
              <w:rPr>
                <w:rFonts w:ascii="Calibri" w:eastAsia="Calibri" w:hAnsi="Calibri"/>
                <w:b/>
                <w:sz w:val="22"/>
                <w:szCs w:val="22"/>
                <w:u w:val="single"/>
                <w:lang w:val="fr-BE" w:eastAsia="en-US"/>
              </w:rPr>
            </w:pPr>
          </w:p>
        </w:tc>
        <w:tc>
          <w:tcPr>
            <w:tcW w:w="1248" w:type="pct"/>
            <w:tcBorders>
              <w:left w:val="single" w:sz="4" w:space="0" w:color="auto"/>
              <w:bottom w:val="dotted" w:sz="4" w:space="0" w:color="auto"/>
            </w:tcBorders>
            <w:shd w:val="clear" w:color="auto" w:fill="F2F2F2" w:themeFill="background1" w:themeFillShade="F2"/>
            <w:vAlign w:val="center"/>
          </w:tcPr>
          <w:p>
            <w:pPr>
              <w:spacing w:after="200" w:line="276" w:lineRule="auto"/>
              <w:jc w:val="center"/>
              <w:rPr>
                <w:rFonts w:ascii="Calibri" w:eastAsia="Calibri" w:hAnsi="Calibri"/>
                <w:b/>
                <w:sz w:val="22"/>
                <w:szCs w:val="22"/>
                <w:u w:val="single"/>
                <w:lang w:val="fr-BE" w:eastAsia="en-US"/>
              </w:rPr>
            </w:pPr>
          </w:p>
        </w:tc>
      </w:tr>
      <w:tr>
        <w:tc>
          <w:tcPr>
            <w:tcW w:w="2598" w:type="pct"/>
            <w:tcBorders>
              <w:top w:val="dotted" w:sz="4" w:space="0" w:color="auto"/>
              <w:bottom w:val="dotted" w:sz="4" w:space="0" w:color="auto"/>
              <w:right w:val="single" w:sz="4" w:space="0" w:color="auto"/>
            </w:tcBorders>
            <w:shd w:val="clear" w:color="auto" w:fill="auto"/>
            <w:vAlign w:val="center"/>
          </w:tcPr>
          <w:p>
            <w:pPr>
              <w:spacing w:after="200" w:line="276" w:lineRule="auto"/>
              <w:jc w:val="center"/>
              <w:rPr>
                <w:rFonts w:ascii="Calibri" w:eastAsia="Calibri" w:hAnsi="Calibri"/>
                <w:sz w:val="22"/>
                <w:szCs w:val="22"/>
                <w:lang w:val="fr-BE" w:eastAsia="en-US"/>
              </w:rPr>
            </w:pPr>
            <w:r>
              <w:rPr>
                <w:rFonts w:ascii="Calibri" w:eastAsia="Calibri" w:hAnsi="Calibri"/>
                <w:sz w:val="22"/>
                <w:szCs w:val="22"/>
                <w:lang w:val="fr-BE" w:eastAsia="en-US"/>
              </w:rPr>
              <w:t>Comptabilité générale des communes : compte de résultats sur base du compte ordinaire et extraordinaire de la fonction 767</w:t>
            </w:r>
          </w:p>
        </w:tc>
        <w:tc>
          <w:tcPr>
            <w:tcW w:w="1154" w:type="pct"/>
            <w:tcBorders>
              <w:top w:val="dotted" w:sz="4" w:space="0" w:color="auto"/>
              <w:left w:val="single" w:sz="4" w:space="0" w:color="auto"/>
              <w:bottom w:val="dotted" w:sz="4" w:space="0" w:color="auto"/>
              <w:right w:val="single" w:sz="4" w:space="0" w:color="auto"/>
            </w:tcBorders>
            <w:shd w:val="clear" w:color="auto" w:fill="auto"/>
            <w:vAlign w:val="center"/>
          </w:tcPr>
          <w:p>
            <w:pPr>
              <w:spacing w:after="200" w:line="276" w:lineRule="auto"/>
              <w:jc w:val="center"/>
              <w:rPr>
                <w:rFonts w:ascii="Calibri" w:eastAsia="Calibri" w:hAnsi="Calibri"/>
                <w:b/>
                <w:sz w:val="22"/>
                <w:szCs w:val="22"/>
                <w:u w:val="single"/>
                <w:lang w:val="fr-BE" w:eastAsia="en-US"/>
              </w:rPr>
            </w:pPr>
          </w:p>
        </w:tc>
        <w:tc>
          <w:tcPr>
            <w:tcW w:w="1248" w:type="pct"/>
            <w:tcBorders>
              <w:top w:val="dotted" w:sz="4" w:space="0" w:color="auto"/>
              <w:left w:val="single" w:sz="4" w:space="0" w:color="auto"/>
              <w:bottom w:val="dotted" w:sz="4" w:space="0" w:color="auto"/>
            </w:tcBorders>
            <w:shd w:val="clear" w:color="auto" w:fill="auto"/>
            <w:vAlign w:val="center"/>
          </w:tcPr>
          <w:p>
            <w:pPr>
              <w:spacing w:after="200" w:line="276" w:lineRule="auto"/>
              <w:jc w:val="center"/>
              <w:rPr>
                <w:rFonts w:ascii="Calibri" w:eastAsia="Calibri" w:hAnsi="Calibri"/>
                <w:b/>
                <w:sz w:val="22"/>
                <w:szCs w:val="22"/>
                <w:u w:val="single"/>
                <w:lang w:val="fr-BE" w:eastAsia="en-US"/>
              </w:rPr>
            </w:pPr>
          </w:p>
        </w:tc>
      </w:tr>
      <w:tr>
        <w:tc>
          <w:tcPr>
            <w:tcW w:w="2598" w:type="pct"/>
            <w:tcBorders>
              <w:top w:val="dotted" w:sz="4" w:space="0" w:color="auto"/>
              <w:bottom w:val="single" w:sz="4" w:space="0" w:color="auto"/>
              <w:right w:val="single" w:sz="4" w:space="0" w:color="auto"/>
            </w:tcBorders>
            <w:shd w:val="clear" w:color="auto" w:fill="auto"/>
            <w:vAlign w:val="center"/>
          </w:tcPr>
          <w:p>
            <w:pPr>
              <w:spacing w:after="200" w:line="276" w:lineRule="auto"/>
              <w:jc w:val="center"/>
              <w:rPr>
                <w:rFonts w:ascii="Calibri" w:eastAsia="Calibri" w:hAnsi="Calibri"/>
                <w:sz w:val="22"/>
                <w:szCs w:val="22"/>
                <w:lang w:val="fr-BE" w:eastAsia="en-US"/>
              </w:rPr>
            </w:pPr>
            <w:r>
              <w:rPr>
                <w:rFonts w:ascii="Calibri" w:eastAsia="Calibri" w:hAnsi="Calibri"/>
                <w:sz w:val="22"/>
                <w:szCs w:val="22"/>
                <w:lang w:val="fr-BE" w:eastAsia="en-US"/>
              </w:rPr>
              <w:t>Comptabilité générale des provinces : compte de résultats sur base du compte ordinaire et extraordinaire de la fonction 767</w:t>
            </w:r>
          </w:p>
        </w:tc>
        <w:tc>
          <w:tcPr>
            <w:tcW w:w="1154" w:type="pct"/>
            <w:tcBorders>
              <w:top w:val="dotted" w:sz="4" w:space="0" w:color="auto"/>
              <w:left w:val="single" w:sz="4" w:space="0" w:color="auto"/>
              <w:bottom w:val="single" w:sz="4" w:space="0" w:color="auto"/>
              <w:right w:val="single" w:sz="4" w:space="0" w:color="auto"/>
            </w:tcBorders>
            <w:shd w:val="clear" w:color="auto" w:fill="auto"/>
            <w:vAlign w:val="center"/>
          </w:tcPr>
          <w:p>
            <w:pPr>
              <w:spacing w:after="200" w:line="276" w:lineRule="auto"/>
              <w:jc w:val="center"/>
              <w:rPr>
                <w:rFonts w:ascii="Calibri" w:eastAsia="Calibri" w:hAnsi="Calibri"/>
                <w:b/>
                <w:sz w:val="22"/>
                <w:szCs w:val="22"/>
                <w:u w:val="single"/>
                <w:lang w:val="fr-BE" w:eastAsia="en-US"/>
              </w:rPr>
            </w:pPr>
          </w:p>
        </w:tc>
        <w:tc>
          <w:tcPr>
            <w:tcW w:w="1248" w:type="pct"/>
            <w:tcBorders>
              <w:top w:val="dotted" w:sz="4" w:space="0" w:color="auto"/>
              <w:left w:val="single" w:sz="4" w:space="0" w:color="auto"/>
              <w:bottom w:val="single" w:sz="4" w:space="0" w:color="auto"/>
            </w:tcBorders>
            <w:shd w:val="clear" w:color="auto" w:fill="auto"/>
            <w:vAlign w:val="center"/>
          </w:tcPr>
          <w:p>
            <w:pPr>
              <w:spacing w:after="200" w:line="276" w:lineRule="auto"/>
              <w:jc w:val="center"/>
              <w:rPr>
                <w:rFonts w:ascii="Calibri" w:eastAsia="Calibri" w:hAnsi="Calibri"/>
                <w:b/>
                <w:sz w:val="22"/>
                <w:szCs w:val="22"/>
                <w:u w:val="single"/>
                <w:lang w:val="fr-BE" w:eastAsia="en-US"/>
              </w:rPr>
            </w:pPr>
          </w:p>
        </w:tc>
      </w:tr>
      <w:tr>
        <w:tc>
          <w:tcPr>
            <w:tcW w:w="2598" w:type="pct"/>
            <w:tcBorders>
              <w:bottom w:val="dotted" w:sz="4" w:space="0" w:color="auto"/>
              <w:right w:val="single" w:sz="4" w:space="0" w:color="auto"/>
            </w:tcBorders>
            <w:shd w:val="clear" w:color="auto" w:fill="F2F2F2" w:themeFill="background1" w:themeFillShade="F2"/>
            <w:vAlign w:val="center"/>
          </w:tcPr>
          <w:p>
            <w:pPr>
              <w:spacing w:after="200" w:line="276" w:lineRule="auto"/>
              <w:jc w:val="center"/>
              <w:rPr>
                <w:rFonts w:ascii="Calibri" w:eastAsia="Calibri" w:hAnsi="Calibri"/>
                <w:b/>
                <w:sz w:val="22"/>
                <w:szCs w:val="22"/>
                <w:u w:val="single"/>
                <w:lang w:val="fr-BE" w:eastAsia="en-US"/>
              </w:rPr>
            </w:pPr>
            <w:r>
              <w:rPr>
                <w:rFonts w:ascii="Calibri" w:eastAsia="Calibri" w:hAnsi="Calibri"/>
                <w:b/>
                <w:sz w:val="22"/>
                <w:szCs w:val="22"/>
                <w:u w:val="single"/>
                <w:lang w:val="fr-BE" w:eastAsia="en-US"/>
              </w:rPr>
              <w:t xml:space="preserve">DEPENSES DE FONCTIONNEMENT ET D’ACTIVITES </w:t>
            </w:r>
          </w:p>
        </w:tc>
        <w:tc>
          <w:tcPr>
            <w:tcW w:w="1154" w:type="pct"/>
            <w:tcBorders>
              <w:left w:val="single" w:sz="4" w:space="0" w:color="auto"/>
              <w:bottom w:val="dotted" w:sz="4" w:space="0" w:color="auto"/>
              <w:right w:val="single" w:sz="4" w:space="0" w:color="auto"/>
            </w:tcBorders>
            <w:shd w:val="clear" w:color="auto" w:fill="F2F2F2" w:themeFill="background1" w:themeFillShade="F2"/>
            <w:vAlign w:val="center"/>
          </w:tcPr>
          <w:p>
            <w:pPr>
              <w:spacing w:after="200" w:line="276" w:lineRule="auto"/>
              <w:jc w:val="center"/>
              <w:rPr>
                <w:rFonts w:ascii="Calibri" w:eastAsia="Calibri" w:hAnsi="Calibri"/>
                <w:b/>
                <w:sz w:val="22"/>
                <w:szCs w:val="22"/>
                <w:u w:val="single"/>
                <w:lang w:val="fr-BE" w:eastAsia="en-US"/>
              </w:rPr>
            </w:pPr>
          </w:p>
        </w:tc>
        <w:tc>
          <w:tcPr>
            <w:tcW w:w="1248" w:type="pct"/>
            <w:tcBorders>
              <w:left w:val="single" w:sz="4" w:space="0" w:color="auto"/>
              <w:bottom w:val="dotted" w:sz="4" w:space="0" w:color="auto"/>
            </w:tcBorders>
            <w:shd w:val="clear" w:color="auto" w:fill="F2F2F2" w:themeFill="background1" w:themeFillShade="F2"/>
            <w:vAlign w:val="center"/>
          </w:tcPr>
          <w:p>
            <w:pPr>
              <w:spacing w:after="200" w:line="276" w:lineRule="auto"/>
              <w:jc w:val="center"/>
              <w:rPr>
                <w:rFonts w:ascii="Calibri" w:eastAsia="Calibri" w:hAnsi="Calibri"/>
                <w:b/>
                <w:sz w:val="22"/>
                <w:szCs w:val="22"/>
                <w:u w:val="single"/>
                <w:lang w:val="fr-BE" w:eastAsia="en-US"/>
              </w:rPr>
            </w:pPr>
          </w:p>
        </w:tc>
      </w:tr>
      <w:tr>
        <w:tc>
          <w:tcPr>
            <w:tcW w:w="2598" w:type="pct"/>
            <w:tcBorders>
              <w:top w:val="dotted" w:sz="4" w:space="0" w:color="auto"/>
              <w:bottom w:val="dotted" w:sz="4" w:space="0" w:color="auto"/>
              <w:right w:val="single" w:sz="4" w:space="0" w:color="auto"/>
            </w:tcBorders>
            <w:shd w:val="clear" w:color="auto" w:fill="auto"/>
            <w:vAlign w:val="center"/>
          </w:tcPr>
          <w:p>
            <w:pPr>
              <w:spacing w:after="200" w:line="276" w:lineRule="auto"/>
              <w:jc w:val="center"/>
              <w:rPr>
                <w:rFonts w:ascii="Calibri" w:eastAsia="Calibri" w:hAnsi="Calibri"/>
                <w:sz w:val="22"/>
                <w:szCs w:val="22"/>
                <w:lang w:val="fr-BE" w:eastAsia="en-US"/>
              </w:rPr>
            </w:pPr>
            <w:r>
              <w:rPr>
                <w:rFonts w:ascii="Calibri" w:eastAsia="Calibri" w:hAnsi="Calibri"/>
                <w:sz w:val="22"/>
                <w:szCs w:val="22"/>
                <w:lang w:val="fr-BE" w:eastAsia="en-US"/>
              </w:rPr>
              <w:t xml:space="preserve">Extrait du grand livre comptable </w:t>
            </w:r>
            <w:r>
              <w:rPr>
                <w:rFonts w:ascii="Calibri" w:eastAsia="Calibri" w:hAnsi="Calibri"/>
                <w:b/>
                <w:sz w:val="22"/>
                <w:szCs w:val="22"/>
                <w:lang w:val="fr-BE" w:eastAsia="en-US"/>
              </w:rPr>
              <w:t>avec identification</w:t>
            </w:r>
            <w:r>
              <w:rPr>
                <w:rFonts w:ascii="Calibri" w:eastAsia="Calibri" w:hAnsi="Calibri"/>
                <w:sz w:val="22"/>
                <w:szCs w:val="22"/>
                <w:lang w:val="fr-BE" w:eastAsia="en-US"/>
              </w:rPr>
              <w:t xml:space="preserve"> des dépenses à prendre en compte </w:t>
            </w:r>
          </w:p>
        </w:tc>
        <w:tc>
          <w:tcPr>
            <w:tcW w:w="1154" w:type="pct"/>
            <w:tcBorders>
              <w:top w:val="dotted" w:sz="4" w:space="0" w:color="auto"/>
              <w:left w:val="single" w:sz="4" w:space="0" w:color="auto"/>
              <w:bottom w:val="dotted" w:sz="4" w:space="0" w:color="auto"/>
              <w:right w:val="single" w:sz="4" w:space="0" w:color="auto"/>
            </w:tcBorders>
            <w:shd w:val="clear" w:color="auto" w:fill="auto"/>
            <w:vAlign w:val="center"/>
          </w:tcPr>
          <w:p>
            <w:pPr>
              <w:spacing w:after="200" w:line="276" w:lineRule="auto"/>
              <w:jc w:val="center"/>
              <w:rPr>
                <w:rFonts w:ascii="Calibri" w:eastAsia="Calibri" w:hAnsi="Calibri"/>
                <w:b/>
                <w:sz w:val="22"/>
                <w:szCs w:val="22"/>
                <w:u w:val="single"/>
                <w:lang w:val="fr-BE" w:eastAsia="en-US"/>
              </w:rPr>
            </w:pPr>
          </w:p>
        </w:tc>
        <w:tc>
          <w:tcPr>
            <w:tcW w:w="1248" w:type="pct"/>
            <w:tcBorders>
              <w:top w:val="dotted" w:sz="4" w:space="0" w:color="auto"/>
              <w:left w:val="single" w:sz="4" w:space="0" w:color="auto"/>
              <w:bottom w:val="dotted" w:sz="4" w:space="0" w:color="auto"/>
            </w:tcBorders>
            <w:shd w:val="clear" w:color="auto" w:fill="auto"/>
            <w:vAlign w:val="center"/>
          </w:tcPr>
          <w:p>
            <w:pPr>
              <w:spacing w:after="200" w:line="276" w:lineRule="auto"/>
              <w:jc w:val="center"/>
              <w:rPr>
                <w:rFonts w:ascii="Calibri" w:eastAsia="Calibri" w:hAnsi="Calibri"/>
                <w:b/>
                <w:sz w:val="22"/>
                <w:szCs w:val="22"/>
                <w:u w:val="single"/>
                <w:lang w:val="fr-BE" w:eastAsia="en-US"/>
              </w:rPr>
            </w:pPr>
          </w:p>
        </w:tc>
      </w:tr>
      <w:tr>
        <w:tc>
          <w:tcPr>
            <w:tcW w:w="2598" w:type="pct"/>
            <w:tcBorders>
              <w:top w:val="dotted" w:sz="4" w:space="0" w:color="auto"/>
              <w:right w:val="single" w:sz="4" w:space="0" w:color="auto"/>
            </w:tcBorders>
            <w:shd w:val="clear" w:color="auto" w:fill="auto"/>
            <w:vAlign w:val="center"/>
          </w:tcPr>
          <w:p>
            <w:pPr>
              <w:spacing w:after="200" w:line="276" w:lineRule="auto"/>
              <w:jc w:val="center"/>
              <w:rPr>
                <w:rFonts w:ascii="Calibri" w:eastAsia="Calibri" w:hAnsi="Calibri"/>
                <w:sz w:val="22"/>
                <w:szCs w:val="22"/>
                <w:lang w:val="fr-BE" w:eastAsia="en-US"/>
              </w:rPr>
            </w:pPr>
            <w:r>
              <w:rPr>
                <w:rFonts w:ascii="Calibri" w:eastAsia="Calibri" w:hAnsi="Calibri"/>
                <w:b/>
                <w:sz w:val="22"/>
                <w:szCs w:val="22"/>
                <w:u w:val="single"/>
                <w:lang w:val="fr-BE" w:eastAsia="en-US"/>
              </w:rPr>
              <w:t>OU</w:t>
            </w:r>
            <w:r>
              <w:rPr>
                <w:rFonts w:ascii="Calibri" w:eastAsia="Calibri" w:hAnsi="Calibri"/>
                <w:sz w:val="22"/>
                <w:szCs w:val="22"/>
                <w:lang w:val="fr-BE" w:eastAsia="en-US"/>
              </w:rPr>
              <w:t xml:space="preserve"> Factures, preuves de paiement de celles-ci et liste récapitulative des dépenses </w:t>
            </w:r>
          </w:p>
        </w:tc>
        <w:tc>
          <w:tcPr>
            <w:tcW w:w="1154" w:type="pct"/>
            <w:tcBorders>
              <w:top w:val="dotted" w:sz="4" w:space="0" w:color="auto"/>
              <w:left w:val="single" w:sz="4" w:space="0" w:color="auto"/>
              <w:right w:val="single" w:sz="4" w:space="0" w:color="auto"/>
            </w:tcBorders>
            <w:shd w:val="clear" w:color="auto" w:fill="auto"/>
            <w:vAlign w:val="center"/>
          </w:tcPr>
          <w:p>
            <w:pPr>
              <w:spacing w:after="200" w:line="276" w:lineRule="auto"/>
              <w:jc w:val="center"/>
              <w:rPr>
                <w:rFonts w:ascii="Calibri" w:eastAsia="Calibri" w:hAnsi="Calibri"/>
                <w:b/>
                <w:sz w:val="22"/>
                <w:szCs w:val="22"/>
                <w:u w:val="single"/>
                <w:lang w:val="fr-BE" w:eastAsia="en-US"/>
              </w:rPr>
            </w:pPr>
          </w:p>
        </w:tc>
        <w:tc>
          <w:tcPr>
            <w:tcW w:w="1248" w:type="pct"/>
            <w:tcBorders>
              <w:top w:val="dotted" w:sz="4" w:space="0" w:color="auto"/>
              <w:left w:val="single" w:sz="4" w:space="0" w:color="auto"/>
            </w:tcBorders>
            <w:shd w:val="clear" w:color="auto" w:fill="auto"/>
            <w:vAlign w:val="center"/>
          </w:tcPr>
          <w:p>
            <w:pPr>
              <w:spacing w:after="200" w:line="276" w:lineRule="auto"/>
              <w:jc w:val="center"/>
              <w:rPr>
                <w:rFonts w:ascii="Calibri" w:eastAsia="Calibri" w:hAnsi="Calibri"/>
                <w:b/>
                <w:sz w:val="22"/>
                <w:szCs w:val="22"/>
                <w:u w:val="single"/>
                <w:lang w:val="fr-BE" w:eastAsia="en-US"/>
              </w:rPr>
            </w:pPr>
          </w:p>
        </w:tc>
      </w:tr>
    </w:tbl>
    <w:p>
      <w:pPr>
        <w:spacing w:after="200" w:line="276" w:lineRule="auto"/>
        <w:jc w:val="center"/>
        <w:rPr>
          <w:rFonts w:ascii="Calibri" w:eastAsia="Calibri" w:hAnsi="Calibri"/>
          <w:b/>
          <w:sz w:val="22"/>
          <w:szCs w:val="22"/>
          <w:u w:val="single"/>
          <w:lang w:val="fr-BE" w:eastAsia="en-US"/>
        </w:rPr>
      </w:pPr>
    </w:p>
    <w:p>
      <w:pPr>
        <w:spacing w:after="200" w:line="276" w:lineRule="auto"/>
        <w:jc w:val="center"/>
        <w:rPr>
          <w:rFonts w:ascii="Calibri" w:eastAsia="Calibri" w:hAnsi="Calibri"/>
          <w:b/>
          <w:sz w:val="22"/>
          <w:szCs w:val="22"/>
          <w:u w:val="single"/>
          <w:lang w:val="fr-BE" w:eastAsia="en-US"/>
        </w:rPr>
      </w:pPr>
    </w:p>
    <w:p>
      <w:pPr>
        <w:spacing w:after="200" w:line="276" w:lineRule="auto"/>
        <w:jc w:val="center"/>
        <w:rPr>
          <w:rFonts w:ascii="Calibri" w:eastAsia="Calibri" w:hAnsi="Calibri"/>
          <w:b/>
          <w:sz w:val="22"/>
          <w:szCs w:val="22"/>
          <w:u w:val="single"/>
          <w:lang w:val="fr-BE" w:eastAsia="en-US"/>
        </w:rPr>
      </w:pPr>
      <w:r>
        <w:rPr>
          <w:rFonts w:ascii="Calibri" w:eastAsia="Calibri" w:hAnsi="Calibri"/>
          <w:b/>
          <w:sz w:val="22"/>
          <w:szCs w:val="22"/>
          <w:u w:val="single"/>
          <w:lang w:val="fr-BE" w:eastAsia="en-US"/>
        </w:rPr>
        <w:lastRenderedPageBreak/>
        <w:t xml:space="preserve">Check </w:t>
      </w:r>
      <w:proofErr w:type="spellStart"/>
      <w:r>
        <w:rPr>
          <w:rFonts w:ascii="Calibri" w:eastAsia="Calibri" w:hAnsi="Calibri"/>
          <w:b/>
          <w:sz w:val="22"/>
          <w:szCs w:val="22"/>
          <w:u w:val="single"/>
          <w:lang w:val="fr-BE" w:eastAsia="en-US"/>
        </w:rPr>
        <w:t>list</w:t>
      </w:r>
      <w:proofErr w:type="spellEnd"/>
      <w:r>
        <w:rPr>
          <w:rFonts w:ascii="Calibri" w:eastAsia="Calibri" w:hAnsi="Calibri"/>
          <w:b/>
          <w:sz w:val="22"/>
          <w:szCs w:val="22"/>
          <w:u w:val="single"/>
          <w:lang w:val="fr-BE" w:eastAsia="en-US"/>
        </w:rPr>
        <w:t xml:space="preserve"> de vérifications à effectuer avant envoi du rapport financier au Service de la Lecture publique </w:t>
      </w:r>
    </w:p>
    <w:p>
      <w:pPr>
        <w:spacing w:after="200" w:line="276" w:lineRule="auto"/>
        <w:jc w:val="center"/>
        <w:rPr>
          <w:rFonts w:ascii="Calibri" w:eastAsia="Calibri" w:hAnsi="Calibri"/>
          <w:b/>
          <w:sz w:val="22"/>
          <w:szCs w:val="22"/>
          <w:u w:val="single"/>
          <w:lang w:val="fr-BE"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2"/>
        <w:gridCol w:w="1762"/>
      </w:tblGrid>
      <w:tr>
        <w:tc>
          <w:tcPr>
            <w:tcW w:w="4136" w:type="pct"/>
            <w:shd w:val="clear" w:color="auto" w:fill="auto"/>
            <w:vAlign w:val="center"/>
          </w:tcPr>
          <w:p>
            <w:pPr>
              <w:spacing w:after="200" w:line="276" w:lineRule="auto"/>
              <w:rPr>
                <w:rFonts w:ascii="Calibri" w:eastAsia="Calibri" w:hAnsi="Calibri"/>
                <w:sz w:val="22"/>
                <w:szCs w:val="22"/>
                <w:lang w:val="fr-BE" w:eastAsia="en-US"/>
              </w:rPr>
            </w:pPr>
            <w:r>
              <w:rPr>
                <w:rFonts w:ascii="Calibri" w:eastAsia="Calibri" w:hAnsi="Calibri"/>
                <w:sz w:val="22"/>
                <w:szCs w:val="22"/>
                <w:lang w:val="fr-BE" w:eastAsia="en-US"/>
              </w:rPr>
              <w:t>Le rapport financier est signé par un représentant du PO et le ou la responsable de la bibliothèque</w:t>
            </w:r>
          </w:p>
        </w:tc>
        <w:tc>
          <w:tcPr>
            <w:tcW w:w="864" w:type="pct"/>
            <w:shd w:val="clear" w:color="auto" w:fill="auto"/>
            <w:vAlign w:val="center"/>
          </w:tcPr>
          <w:p>
            <w:pPr>
              <w:spacing w:after="200" w:line="276" w:lineRule="auto"/>
              <w:rPr>
                <w:rFonts w:ascii="Calibri" w:eastAsia="Calibri" w:hAnsi="Calibri"/>
                <w:b/>
                <w:sz w:val="22"/>
                <w:szCs w:val="22"/>
                <w:u w:val="single"/>
                <w:lang w:val="fr-BE" w:eastAsia="en-US"/>
              </w:rPr>
            </w:pPr>
          </w:p>
        </w:tc>
      </w:tr>
      <w:tr>
        <w:tc>
          <w:tcPr>
            <w:tcW w:w="4136" w:type="pct"/>
            <w:tcBorders>
              <w:bottom w:val="single" w:sz="4" w:space="0" w:color="auto"/>
            </w:tcBorders>
            <w:shd w:val="clear" w:color="auto" w:fill="auto"/>
            <w:vAlign w:val="center"/>
          </w:tcPr>
          <w:p>
            <w:pPr>
              <w:spacing w:after="200" w:line="276" w:lineRule="auto"/>
              <w:rPr>
                <w:rFonts w:ascii="Calibri" w:eastAsia="Calibri" w:hAnsi="Calibri"/>
                <w:sz w:val="22"/>
                <w:szCs w:val="22"/>
                <w:lang w:val="fr-BE" w:eastAsia="en-US"/>
              </w:rPr>
            </w:pPr>
            <w:r>
              <w:rPr>
                <w:rFonts w:ascii="Calibri" w:eastAsia="Calibri" w:hAnsi="Calibri"/>
                <w:sz w:val="22"/>
                <w:szCs w:val="22"/>
                <w:lang w:val="fr-BE" w:eastAsia="en-US"/>
              </w:rPr>
              <w:t xml:space="preserve">Les annexes sont jointes au dossier </w:t>
            </w:r>
          </w:p>
        </w:tc>
        <w:tc>
          <w:tcPr>
            <w:tcW w:w="864" w:type="pct"/>
            <w:tcBorders>
              <w:bottom w:val="single" w:sz="4" w:space="0" w:color="auto"/>
            </w:tcBorders>
            <w:shd w:val="clear" w:color="auto" w:fill="auto"/>
            <w:vAlign w:val="center"/>
          </w:tcPr>
          <w:p>
            <w:pPr>
              <w:spacing w:after="200" w:line="276" w:lineRule="auto"/>
              <w:rPr>
                <w:rFonts w:ascii="Calibri" w:eastAsia="Calibri" w:hAnsi="Calibri"/>
                <w:b/>
                <w:sz w:val="22"/>
                <w:szCs w:val="22"/>
                <w:u w:val="single"/>
                <w:lang w:val="fr-BE" w:eastAsia="en-US"/>
              </w:rPr>
            </w:pPr>
          </w:p>
        </w:tc>
      </w:tr>
      <w:tr>
        <w:tc>
          <w:tcPr>
            <w:tcW w:w="4136" w:type="pct"/>
            <w:tcBorders>
              <w:bottom w:val="dotted" w:sz="4" w:space="0" w:color="auto"/>
            </w:tcBorders>
            <w:shd w:val="clear" w:color="auto" w:fill="F2F2F2" w:themeFill="background1" w:themeFillShade="F2"/>
            <w:vAlign w:val="center"/>
          </w:tcPr>
          <w:p>
            <w:pPr>
              <w:spacing w:after="200" w:line="276" w:lineRule="auto"/>
              <w:rPr>
                <w:rFonts w:ascii="Calibri" w:eastAsia="Calibri" w:hAnsi="Calibri"/>
                <w:b/>
                <w:sz w:val="22"/>
                <w:szCs w:val="22"/>
                <w:u w:val="single"/>
                <w:lang w:val="fr-BE" w:eastAsia="en-US"/>
              </w:rPr>
            </w:pPr>
            <w:r>
              <w:rPr>
                <w:rFonts w:ascii="Calibri" w:eastAsia="Calibri" w:hAnsi="Calibri"/>
                <w:b/>
                <w:sz w:val="22"/>
                <w:szCs w:val="22"/>
                <w:u w:val="single"/>
                <w:lang w:val="fr-BE" w:eastAsia="en-US"/>
              </w:rPr>
              <w:t>Personnel</w:t>
            </w:r>
          </w:p>
        </w:tc>
        <w:tc>
          <w:tcPr>
            <w:tcW w:w="864" w:type="pct"/>
            <w:tcBorders>
              <w:bottom w:val="dotted" w:sz="4" w:space="0" w:color="auto"/>
            </w:tcBorders>
            <w:shd w:val="clear" w:color="auto" w:fill="F2F2F2" w:themeFill="background1" w:themeFillShade="F2"/>
            <w:vAlign w:val="center"/>
          </w:tcPr>
          <w:p>
            <w:pPr>
              <w:spacing w:after="200" w:line="276" w:lineRule="auto"/>
              <w:rPr>
                <w:rFonts w:ascii="Calibri" w:eastAsia="Calibri" w:hAnsi="Calibri"/>
                <w:b/>
                <w:sz w:val="22"/>
                <w:szCs w:val="22"/>
                <w:u w:val="single"/>
                <w:lang w:val="fr-BE" w:eastAsia="en-US"/>
              </w:rPr>
            </w:pPr>
          </w:p>
        </w:tc>
      </w:tr>
      <w:tr>
        <w:tc>
          <w:tcPr>
            <w:tcW w:w="4136" w:type="pct"/>
            <w:tcBorders>
              <w:top w:val="dotted" w:sz="4" w:space="0" w:color="auto"/>
              <w:bottom w:val="dotted" w:sz="4" w:space="0" w:color="auto"/>
            </w:tcBorders>
            <w:shd w:val="clear" w:color="auto" w:fill="auto"/>
            <w:vAlign w:val="center"/>
          </w:tcPr>
          <w:p>
            <w:pPr>
              <w:spacing w:after="200" w:line="276" w:lineRule="auto"/>
              <w:rPr>
                <w:rFonts w:ascii="Calibri" w:eastAsia="Calibri" w:hAnsi="Calibri"/>
                <w:color w:val="FF0000"/>
                <w:sz w:val="22"/>
                <w:szCs w:val="22"/>
                <w:lang w:val="fr-BE" w:eastAsia="en-US"/>
              </w:rPr>
            </w:pPr>
            <w:r>
              <w:rPr>
                <w:rFonts w:ascii="Calibri" w:eastAsia="Calibri" w:hAnsi="Calibri"/>
                <w:sz w:val="22"/>
                <w:szCs w:val="22"/>
                <w:lang w:val="fr-BE" w:eastAsia="en-US"/>
              </w:rPr>
              <w:t>Les fiches individuelles de renseignements sont complétées y compris pour le personnel financé dans le cadre de la subvention « Fonctionnement et Activités »</w:t>
            </w:r>
          </w:p>
        </w:tc>
        <w:tc>
          <w:tcPr>
            <w:tcW w:w="864" w:type="pct"/>
            <w:tcBorders>
              <w:top w:val="dotted" w:sz="4" w:space="0" w:color="auto"/>
              <w:bottom w:val="dotted" w:sz="4" w:space="0" w:color="auto"/>
            </w:tcBorders>
            <w:shd w:val="clear" w:color="auto" w:fill="auto"/>
            <w:vAlign w:val="center"/>
          </w:tcPr>
          <w:p>
            <w:pPr>
              <w:spacing w:after="200" w:line="276" w:lineRule="auto"/>
              <w:rPr>
                <w:rFonts w:ascii="Calibri" w:eastAsia="Calibri" w:hAnsi="Calibri"/>
                <w:b/>
                <w:sz w:val="22"/>
                <w:szCs w:val="22"/>
                <w:u w:val="single"/>
                <w:lang w:val="fr-BE" w:eastAsia="en-US"/>
              </w:rPr>
            </w:pPr>
          </w:p>
        </w:tc>
      </w:tr>
      <w:tr>
        <w:tc>
          <w:tcPr>
            <w:tcW w:w="4136" w:type="pct"/>
            <w:tcBorders>
              <w:top w:val="dotted" w:sz="4" w:space="0" w:color="auto"/>
              <w:bottom w:val="dotted" w:sz="4" w:space="0" w:color="auto"/>
            </w:tcBorders>
            <w:shd w:val="clear" w:color="auto" w:fill="auto"/>
            <w:vAlign w:val="center"/>
          </w:tcPr>
          <w:p>
            <w:pPr>
              <w:spacing w:after="200" w:line="276" w:lineRule="auto"/>
              <w:rPr>
                <w:rFonts w:ascii="Calibri" w:eastAsia="Calibri" w:hAnsi="Calibri"/>
                <w:sz w:val="22"/>
                <w:szCs w:val="22"/>
                <w:lang w:val="fr-BE" w:eastAsia="en-US"/>
              </w:rPr>
            </w:pPr>
            <w:r>
              <w:rPr>
                <w:rFonts w:ascii="Calibri" w:eastAsia="Calibri" w:hAnsi="Calibri"/>
                <w:sz w:val="22"/>
                <w:szCs w:val="22"/>
                <w:lang w:val="fr-BE" w:eastAsia="en-US"/>
              </w:rPr>
              <w:t xml:space="preserve">Les tableaux des traitements sont dument complétés y compris pour le personnel financé dans le cadre de la subvention « Fonctionnement et Activités » </w:t>
            </w:r>
          </w:p>
        </w:tc>
        <w:tc>
          <w:tcPr>
            <w:tcW w:w="864" w:type="pct"/>
            <w:tcBorders>
              <w:top w:val="dotted" w:sz="4" w:space="0" w:color="auto"/>
              <w:bottom w:val="dotted" w:sz="4" w:space="0" w:color="auto"/>
            </w:tcBorders>
            <w:shd w:val="clear" w:color="auto" w:fill="auto"/>
            <w:vAlign w:val="center"/>
          </w:tcPr>
          <w:p>
            <w:pPr>
              <w:spacing w:after="200" w:line="276" w:lineRule="auto"/>
              <w:rPr>
                <w:rFonts w:ascii="Calibri" w:eastAsia="Calibri" w:hAnsi="Calibri"/>
                <w:b/>
                <w:sz w:val="22"/>
                <w:szCs w:val="22"/>
                <w:u w:val="single"/>
                <w:lang w:val="fr-BE" w:eastAsia="en-US"/>
              </w:rPr>
            </w:pPr>
          </w:p>
        </w:tc>
      </w:tr>
      <w:tr>
        <w:tc>
          <w:tcPr>
            <w:tcW w:w="4136" w:type="pct"/>
            <w:tcBorders>
              <w:top w:val="dotted" w:sz="4" w:space="0" w:color="auto"/>
              <w:bottom w:val="dotted" w:sz="4" w:space="0" w:color="auto"/>
            </w:tcBorders>
            <w:shd w:val="clear" w:color="auto" w:fill="auto"/>
            <w:vAlign w:val="center"/>
          </w:tcPr>
          <w:p>
            <w:pPr>
              <w:spacing w:after="200" w:line="276" w:lineRule="auto"/>
              <w:rPr>
                <w:rFonts w:ascii="Calibri" w:eastAsia="Calibri" w:hAnsi="Calibri"/>
                <w:sz w:val="22"/>
                <w:szCs w:val="22"/>
                <w:lang w:val="fr-BE" w:eastAsia="en-US"/>
              </w:rPr>
            </w:pPr>
            <w:r>
              <w:rPr>
                <w:rFonts w:ascii="Calibri" w:eastAsia="Calibri" w:hAnsi="Calibri"/>
                <w:sz w:val="22"/>
                <w:szCs w:val="22"/>
                <w:lang w:val="fr-BE" w:eastAsia="en-US"/>
              </w:rPr>
              <w:t xml:space="preserve">Les informations en matière de temps de travail presté reprises dans la fiche individuelle de renseignement du personnel, dans le tableau des traitements et le compte individuel sont cohérentes entre elles </w:t>
            </w:r>
          </w:p>
        </w:tc>
        <w:tc>
          <w:tcPr>
            <w:tcW w:w="864" w:type="pct"/>
            <w:tcBorders>
              <w:top w:val="dotted" w:sz="4" w:space="0" w:color="auto"/>
              <w:bottom w:val="dotted" w:sz="4" w:space="0" w:color="auto"/>
            </w:tcBorders>
            <w:shd w:val="clear" w:color="auto" w:fill="auto"/>
            <w:vAlign w:val="center"/>
          </w:tcPr>
          <w:p>
            <w:pPr>
              <w:spacing w:after="200" w:line="276" w:lineRule="auto"/>
              <w:rPr>
                <w:rFonts w:ascii="Calibri" w:eastAsia="Calibri" w:hAnsi="Calibri"/>
                <w:b/>
                <w:sz w:val="22"/>
                <w:szCs w:val="22"/>
                <w:u w:val="single"/>
                <w:lang w:val="fr-BE" w:eastAsia="en-US"/>
              </w:rPr>
            </w:pPr>
          </w:p>
        </w:tc>
      </w:tr>
      <w:tr>
        <w:tc>
          <w:tcPr>
            <w:tcW w:w="4136" w:type="pct"/>
            <w:tcBorders>
              <w:top w:val="dotted" w:sz="4" w:space="0" w:color="auto"/>
              <w:bottom w:val="single" w:sz="4" w:space="0" w:color="auto"/>
            </w:tcBorders>
            <w:shd w:val="clear" w:color="auto" w:fill="auto"/>
            <w:vAlign w:val="center"/>
          </w:tcPr>
          <w:p>
            <w:pPr>
              <w:spacing w:after="200" w:line="276" w:lineRule="auto"/>
              <w:rPr>
                <w:rFonts w:ascii="Calibri" w:eastAsia="Calibri" w:hAnsi="Calibri"/>
                <w:sz w:val="22"/>
                <w:szCs w:val="22"/>
                <w:lang w:val="fr-BE" w:eastAsia="en-US"/>
              </w:rPr>
            </w:pPr>
            <w:r>
              <w:rPr>
                <w:rFonts w:ascii="Calibri" w:eastAsia="Calibri" w:hAnsi="Calibri"/>
                <w:sz w:val="22"/>
                <w:szCs w:val="22"/>
                <w:lang w:val="fr-BE" w:eastAsia="en-US"/>
              </w:rPr>
              <w:t>Le tableau des formations est complété</w:t>
            </w:r>
          </w:p>
        </w:tc>
        <w:tc>
          <w:tcPr>
            <w:tcW w:w="864" w:type="pct"/>
            <w:tcBorders>
              <w:top w:val="dotted" w:sz="4" w:space="0" w:color="auto"/>
              <w:bottom w:val="single" w:sz="4" w:space="0" w:color="auto"/>
            </w:tcBorders>
            <w:shd w:val="clear" w:color="auto" w:fill="auto"/>
            <w:vAlign w:val="center"/>
          </w:tcPr>
          <w:p>
            <w:pPr>
              <w:spacing w:after="200" w:line="276" w:lineRule="auto"/>
              <w:rPr>
                <w:rFonts w:ascii="Calibri" w:eastAsia="Calibri" w:hAnsi="Calibri"/>
                <w:sz w:val="22"/>
                <w:szCs w:val="22"/>
                <w:lang w:val="fr-BE" w:eastAsia="en-US"/>
              </w:rPr>
            </w:pPr>
          </w:p>
        </w:tc>
      </w:tr>
      <w:tr>
        <w:tc>
          <w:tcPr>
            <w:tcW w:w="4136" w:type="pct"/>
            <w:tcBorders>
              <w:bottom w:val="dotted" w:sz="4" w:space="0" w:color="auto"/>
            </w:tcBorders>
            <w:shd w:val="clear" w:color="auto" w:fill="F2F2F2" w:themeFill="background1" w:themeFillShade="F2"/>
            <w:vAlign w:val="center"/>
          </w:tcPr>
          <w:p>
            <w:pPr>
              <w:spacing w:after="200" w:line="276" w:lineRule="auto"/>
              <w:rPr>
                <w:rFonts w:ascii="Calibri" w:eastAsia="Calibri" w:hAnsi="Calibri"/>
                <w:color w:val="44546A"/>
                <w:sz w:val="22"/>
                <w:szCs w:val="22"/>
                <w:lang w:val="fr-BE" w:eastAsia="en-US"/>
              </w:rPr>
            </w:pPr>
            <w:r>
              <w:rPr>
                <w:rFonts w:ascii="Calibri" w:eastAsia="Calibri" w:hAnsi="Calibri"/>
                <w:b/>
                <w:sz w:val="22"/>
                <w:szCs w:val="22"/>
                <w:u w:val="single"/>
                <w:lang w:val="fr-BE" w:eastAsia="en-US"/>
              </w:rPr>
              <w:t>Subvention de fonctionnement et d’activités</w:t>
            </w:r>
            <w:r>
              <w:rPr>
                <w:rFonts w:ascii="Calibri" w:eastAsia="Calibri" w:hAnsi="Calibri"/>
                <w:b/>
                <w:color w:val="FF0000"/>
                <w:sz w:val="22"/>
                <w:szCs w:val="22"/>
                <w:u w:val="single"/>
                <w:lang w:val="fr-BE" w:eastAsia="en-US"/>
              </w:rPr>
              <w:t xml:space="preserve"> </w:t>
            </w:r>
          </w:p>
        </w:tc>
        <w:tc>
          <w:tcPr>
            <w:tcW w:w="864" w:type="pct"/>
            <w:tcBorders>
              <w:bottom w:val="dotted" w:sz="4" w:space="0" w:color="auto"/>
            </w:tcBorders>
            <w:shd w:val="clear" w:color="auto" w:fill="F2F2F2" w:themeFill="background1" w:themeFillShade="F2"/>
            <w:vAlign w:val="center"/>
          </w:tcPr>
          <w:p>
            <w:pPr>
              <w:spacing w:after="200" w:line="276" w:lineRule="auto"/>
              <w:rPr>
                <w:rFonts w:ascii="Calibri" w:eastAsia="Calibri" w:hAnsi="Calibri"/>
                <w:b/>
                <w:sz w:val="22"/>
                <w:szCs w:val="22"/>
                <w:u w:val="single"/>
                <w:lang w:val="fr-BE" w:eastAsia="en-US"/>
              </w:rPr>
            </w:pPr>
          </w:p>
        </w:tc>
      </w:tr>
      <w:tr>
        <w:tc>
          <w:tcPr>
            <w:tcW w:w="4136" w:type="pct"/>
            <w:tcBorders>
              <w:top w:val="dotted" w:sz="4" w:space="0" w:color="auto"/>
              <w:bottom w:val="single" w:sz="4" w:space="0" w:color="auto"/>
            </w:tcBorders>
            <w:shd w:val="clear" w:color="auto" w:fill="auto"/>
            <w:vAlign w:val="center"/>
          </w:tcPr>
          <w:p>
            <w:pPr>
              <w:spacing w:after="200" w:line="276" w:lineRule="auto"/>
              <w:rPr>
                <w:rFonts w:ascii="Calibri" w:eastAsia="Calibri" w:hAnsi="Calibri"/>
                <w:sz w:val="22"/>
                <w:szCs w:val="22"/>
                <w:lang w:val="fr-BE" w:eastAsia="en-US"/>
              </w:rPr>
            </w:pPr>
            <w:r>
              <w:rPr>
                <w:rFonts w:ascii="Calibri" w:eastAsia="Calibri" w:hAnsi="Calibri"/>
                <w:sz w:val="22"/>
                <w:szCs w:val="22"/>
                <w:lang w:val="fr-BE" w:eastAsia="en-US"/>
              </w:rPr>
              <w:t xml:space="preserve">Les dépenses sont clairement identifiées dans le Grand livre des dépenses joint en annexe </w:t>
            </w:r>
          </w:p>
          <w:p>
            <w:pPr>
              <w:spacing w:after="200" w:line="276" w:lineRule="auto"/>
              <w:rPr>
                <w:rFonts w:ascii="Calibri" w:eastAsia="Calibri" w:hAnsi="Calibri"/>
                <w:b/>
                <w:sz w:val="22"/>
                <w:szCs w:val="22"/>
                <w:lang w:val="fr-BE" w:eastAsia="en-US"/>
              </w:rPr>
            </w:pPr>
            <w:r>
              <w:rPr>
                <w:rFonts w:ascii="Calibri" w:eastAsia="Calibri" w:hAnsi="Calibri"/>
                <w:b/>
                <w:sz w:val="22"/>
                <w:szCs w:val="22"/>
                <w:lang w:val="fr-BE" w:eastAsia="en-US"/>
              </w:rPr>
              <w:t>OU</w:t>
            </w:r>
          </w:p>
          <w:p>
            <w:pPr>
              <w:spacing w:after="200" w:line="276" w:lineRule="auto"/>
              <w:rPr>
                <w:rFonts w:ascii="Calibri" w:eastAsia="Calibri" w:hAnsi="Calibri"/>
                <w:sz w:val="22"/>
                <w:szCs w:val="22"/>
                <w:lang w:val="fr-BE" w:eastAsia="en-US"/>
              </w:rPr>
            </w:pPr>
            <w:r>
              <w:rPr>
                <w:rFonts w:ascii="Calibri" w:eastAsia="Calibri" w:hAnsi="Calibri"/>
                <w:sz w:val="22"/>
                <w:szCs w:val="22"/>
                <w:lang w:val="fr-BE" w:eastAsia="en-US"/>
              </w:rPr>
              <w:t xml:space="preserve">Les factures et les preuves de paiement sont classées et ordonnées. La liste récapitulative des dépenses est complète.   </w:t>
            </w:r>
          </w:p>
        </w:tc>
        <w:tc>
          <w:tcPr>
            <w:tcW w:w="864" w:type="pct"/>
            <w:tcBorders>
              <w:top w:val="dotted" w:sz="4" w:space="0" w:color="auto"/>
              <w:bottom w:val="single" w:sz="4" w:space="0" w:color="auto"/>
            </w:tcBorders>
            <w:shd w:val="clear" w:color="auto" w:fill="auto"/>
            <w:vAlign w:val="center"/>
          </w:tcPr>
          <w:p>
            <w:pPr>
              <w:spacing w:after="200" w:line="276" w:lineRule="auto"/>
              <w:rPr>
                <w:rFonts w:ascii="Calibri" w:eastAsia="Calibri" w:hAnsi="Calibri"/>
                <w:b/>
                <w:sz w:val="22"/>
                <w:szCs w:val="22"/>
                <w:u w:val="single"/>
                <w:lang w:val="fr-BE" w:eastAsia="en-US"/>
              </w:rPr>
            </w:pPr>
          </w:p>
        </w:tc>
      </w:tr>
      <w:tr>
        <w:tc>
          <w:tcPr>
            <w:tcW w:w="4136" w:type="pct"/>
            <w:tcBorders>
              <w:bottom w:val="dotted" w:sz="4" w:space="0" w:color="auto"/>
            </w:tcBorders>
            <w:shd w:val="clear" w:color="auto" w:fill="F2F2F2" w:themeFill="background1" w:themeFillShade="F2"/>
            <w:vAlign w:val="center"/>
          </w:tcPr>
          <w:p>
            <w:pPr>
              <w:spacing w:after="200" w:line="276" w:lineRule="auto"/>
              <w:rPr>
                <w:rFonts w:ascii="Calibri" w:eastAsia="Calibri" w:hAnsi="Calibri"/>
                <w:b/>
                <w:sz w:val="22"/>
                <w:szCs w:val="22"/>
                <w:u w:val="single"/>
                <w:lang w:val="fr-BE" w:eastAsia="en-US"/>
              </w:rPr>
            </w:pPr>
            <w:r>
              <w:rPr>
                <w:rFonts w:ascii="Calibri" w:eastAsia="Calibri" w:hAnsi="Calibri"/>
                <w:b/>
                <w:sz w:val="22"/>
                <w:szCs w:val="22"/>
                <w:u w:val="single"/>
                <w:lang w:val="fr-BE" w:eastAsia="en-US"/>
              </w:rPr>
              <w:t xml:space="preserve">Comptabilité </w:t>
            </w:r>
          </w:p>
        </w:tc>
        <w:tc>
          <w:tcPr>
            <w:tcW w:w="864" w:type="pct"/>
            <w:tcBorders>
              <w:bottom w:val="dotted" w:sz="4" w:space="0" w:color="auto"/>
            </w:tcBorders>
            <w:shd w:val="clear" w:color="auto" w:fill="F2F2F2" w:themeFill="background1" w:themeFillShade="F2"/>
            <w:vAlign w:val="center"/>
          </w:tcPr>
          <w:p>
            <w:pPr>
              <w:spacing w:after="200" w:line="276" w:lineRule="auto"/>
              <w:rPr>
                <w:rFonts w:ascii="Calibri" w:eastAsia="Calibri" w:hAnsi="Calibri"/>
                <w:b/>
                <w:sz w:val="22"/>
                <w:szCs w:val="22"/>
                <w:u w:val="single"/>
                <w:lang w:val="fr-BE" w:eastAsia="en-US"/>
              </w:rPr>
            </w:pPr>
          </w:p>
        </w:tc>
      </w:tr>
      <w:tr>
        <w:tc>
          <w:tcPr>
            <w:tcW w:w="4136" w:type="pct"/>
            <w:tcBorders>
              <w:top w:val="dotted" w:sz="4" w:space="0" w:color="auto"/>
            </w:tcBorders>
            <w:shd w:val="clear" w:color="auto" w:fill="auto"/>
            <w:vAlign w:val="center"/>
          </w:tcPr>
          <w:p>
            <w:pPr>
              <w:spacing w:after="200" w:line="276" w:lineRule="auto"/>
              <w:rPr>
                <w:rFonts w:ascii="Calibri" w:eastAsia="Calibri" w:hAnsi="Calibri"/>
                <w:sz w:val="22"/>
                <w:szCs w:val="22"/>
                <w:lang w:val="fr-BE" w:eastAsia="en-US"/>
              </w:rPr>
            </w:pPr>
            <w:r>
              <w:rPr>
                <w:rFonts w:ascii="Calibri" w:eastAsia="Calibri" w:hAnsi="Calibri"/>
                <w:sz w:val="22"/>
                <w:szCs w:val="22"/>
                <w:lang w:val="fr-BE" w:eastAsia="en-US"/>
              </w:rPr>
              <w:t xml:space="preserve">Le tableau est dument complété selon les intitulés des rubriques </w:t>
            </w:r>
          </w:p>
        </w:tc>
        <w:tc>
          <w:tcPr>
            <w:tcW w:w="864" w:type="pct"/>
            <w:tcBorders>
              <w:top w:val="dotted" w:sz="4" w:space="0" w:color="auto"/>
            </w:tcBorders>
            <w:shd w:val="clear" w:color="auto" w:fill="auto"/>
            <w:vAlign w:val="center"/>
          </w:tcPr>
          <w:p>
            <w:pPr>
              <w:spacing w:after="200" w:line="276" w:lineRule="auto"/>
              <w:rPr>
                <w:rFonts w:ascii="Calibri" w:eastAsia="Calibri" w:hAnsi="Calibri"/>
                <w:b/>
                <w:sz w:val="22"/>
                <w:szCs w:val="22"/>
                <w:u w:val="single"/>
                <w:lang w:val="fr-BE" w:eastAsia="en-US"/>
              </w:rPr>
            </w:pPr>
          </w:p>
        </w:tc>
      </w:tr>
    </w:tbl>
    <w:p>
      <w:pPr>
        <w:spacing w:after="200" w:line="276" w:lineRule="auto"/>
        <w:jc w:val="center"/>
        <w:rPr>
          <w:rFonts w:ascii="Calibri" w:eastAsia="Calibri" w:hAnsi="Calibri"/>
          <w:b/>
          <w:sz w:val="22"/>
          <w:szCs w:val="22"/>
          <w:u w:val="single"/>
          <w:lang w:val="fr-BE" w:eastAsia="en-US"/>
        </w:rPr>
      </w:pPr>
    </w:p>
    <w:p>
      <w:pPr>
        <w:spacing w:after="200" w:line="276" w:lineRule="auto"/>
        <w:jc w:val="center"/>
        <w:rPr>
          <w:rFonts w:ascii="Calibri" w:eastAsia="Calibri" w:hAnsi="Calibri"/>
          <w:b/>
          <w:sz w:val="22"/>
          <w:szCs w:val="22"/>
          <w:u w:val="single"/>
          <w:lang w:val="fr-BE" w:eastAsia="en-US"/>
        </w:rPr>
      </w:pPr>
    </w:p>
    <w:p>
      <w:pPr>
        <w:rPr>
          <w:rFonts w:ascii="Verdana" w:hAnsi="Verdana"/>
        </w:rPr>
      </w:pPr>
      <w:r>
        <w:rPr>
          <w:rFonts w:ascii="Verdana" w:hAnsi="Verdana"/>
        </w:rPr>
        <w:br w:type="page"/>
      </w:r>
    </w:p>
    <w:p>
      <w:pPr>
        <w:spacing w:after="200" w:line="276" w:lineRule="auto"/>
        <w:rPr>
          <w:rFonts w:ascii="Verdana" w:eastAsia="Calibri" w:hAnsi="Verdana"/>
          <w:sz w:val="22"/>
          <w:szCs w:val="22"/>
          <w:lang w:val="fr-BE" w:eastAsia="en-US"/>
        </w:rPr>
      </w:pPr>
      <w:r>
        <w:rPr>
          <w:rFonts w:ascii="Verdana" w:eastAsia="Calibri" w:hAnsi="Verdana"/>
          <w:b/>
          <w:bCs/>
          <w:sz w:val="22"/>
          <w:szCs w:val="22"/>
          <w:u w:val="single"/>
          <w:lang w:val="fr-BE" w:eastAsia="en-US"/>
        </w:rPr>
        <w:lastRenderedPageBreak/>
        <w:t>Article 8 de l’Arrêté du 19 juillet 2011 portant application du décret du 30 avril 2009 relatif au développement des pratiques de lecture organisé par le Réseau public de la Lecture et les bibliothèques publiques</w:t>
      </w:r>
    </w:p>
    <w:p>
      <w:pPr>
        <w:spacing w:after="200" w:line="276" w:lineRule="auto"/>
        <w:jc w:val="both"/>
        <w:rPr>
          <w:rFonts w:ascii="Verdana" w:eastAsia="Calibri" w:hAnsi="Verdana"/>
          <w:sz w:val="22"/>
          <w:szCs w:val="22"/>
          <w:lang w:val="fr-BE" w:eastAsia="en-US"/>
        </w:rPr>
      </w:pPr>
    </w:p>
    <w:p>
      <w:pPr>
        <w:spacing w:after="200" w:line="276" w:lineRule="auto"/>
        <w:jc w:val="both"/>
        <w:rPr>
          <w:rFonts w:ascii="Verdana" w:eastAsia="Calibri" w:hAnsi="Verdana"/>
          <w:sz w:val="22"/>
          <w:szCs w:val="22"/>
          <w:lang w:val="fr-BE" w:eastAsia="en-US"/>
        </w:rPr>
      </w:pPr>
      <w:r>
        <w:rPr>
          <w:rFonts w:ascii="Verdana" w:eastAsia="Calibri" w:hAnsi="Verdana"/>
          <w:sz w:val="22"/>
          <w:szCs w:val="22"/>
          <w:lang w:val="fr-BE" w:eastAsia="en-US"/>
        </w:rPr>
        <w:t>Pour être réputé personnel qualifié et bénéficier d’une subvention telle que prévue à l’article 18, 1°, du décret, le personnel doit :</w:t>
      </w:r>
    </w:p>
    <w:p>
      <w:pPr>
        <w:spacing w:after="200" w:line="276" w:lineRule="auto"/>
        <w:jc w:val="both"/>
        <w:rPr>
          <w:rFonts w:ascii="Verdana" w:eastAsia="Calibri" w:hAnsi="Verdana"/>
          <w:sz w:val="22"/>
          <w:szCs w:val="22"/>
          <w:lang w:val="fr-BE" w:eastAsia="en-US"/>
        </w:rPr>
      </w:pPr>
      <w:r>
        <w:rPr>
          <w:rFonts w:ascii="Verdana" w:eastAsia="Calibri" w:hAnsi="Verdana"/>
          <w:sz w:val="22"/>
          <w:szCs w:val="22"/>
          <w:lang w:val="fr-BE" w:eastAsia="en-US"/>
        </w:rPr>
        <w:t xml:space="preserve">1° </w:t>
      </w:r>
      <w:r>
        <w:rPr>
          <w:rFonts w:ascii="Verdana" w:eastAsia="Calibri" w:hAnsi="Verdana"/>
          <w:b/>
          <w:sz w:val="22"/>
          <w:szCs w:val="22"/>
          <w:lang w:val="fr-BE" w:eastAsia="en-US"/>
        </w:rPr>
        <w:t>soit être porteur d’un des grades suivants :</w:t>
      </w:r>
    </w:p>
    <w:p>
      <w:pPr>
        <w:spacing w:after="200" w:line="276" w:lineRule="auto"/>
        <w:jc w:val="both"/>
        <w:rPr>
          <w:rFonts w:ascii="Verdana" w:eastAsia="Calibri" w:hAnsi="Verdana"/>
          <w:sz w:val="22"/>
          <w:szCs w:val="22"/>
          <w:lang w:val="fr-BE" w:eastAsia="en-US"/>
        </w:rPr>
      </w:pPr>
      <w:r>
        <w:rPr>
          <w:rFonts w:ascii="Verdana" w:eastAsia="Calibri" w:hAnsi="Verdana"/>
          <w:sz w:val="22"/>
          <w:szCs w:val="22"/>
          <w:lang w:val="fr-BE" w:eastAsia="en-US"/>
        </w:rPr>
        <w:t>a) master ou licencié en sciences et technologies de l’information et de la communication ;</w:t>
      </w:r>
    </w:p>
    <w:p>
      <w:pPr>
        <w:spacing w:after="200" w:line="276" w:lineRule="auto"/>
        <w:jc w:val="both"/>
        <w:rPr>
          <w:rFonts w:ascii="Verdana" w:eastAsia="Calibri" w:hAnsi="Verdana"/>
          <w:sz w:val="22"/>
          <w:szCs w:val="22"/>
          <w:lang w:val="fr-BE" w:eastAsia="en-US"/>
        </w:rPr>
      </w:pPr>
      <w:r>
        <w:rPr>
          <w:rFonts w:ascii="Verdana" w:eastAsia="Calibri" w:hAnsi="Verdana"/>
          <w:sz w:val="22"/>
          <w:szCs w:val="22"/>
          <w:lang w:val="fr-BE" w:eastAsia="en-US"/>
        </w:rPr>
        <w:t>b) bachelier bibliothécaire-documentaliste ou gradué bibliothécaire-documentaliste;</w:t>
      </w:r>
    </w:p>
    <w:p>
      <w:pPr>
        <w:spacing w:after="200" w:line="276" w:lineRule="auto"/>
        <w:jc w:val="both"/>
        <w:rPr>
          <w:rFonts w:ascii="Verdana" w:eastAsia="Calibri" w:hAnsi="Verdana"/>
          <w:sz w:val="22"/>
          <w:szCs w:val="22"/>
          <w:lang w:val="fr-BE" w:eastAsia="en-US"/>
        </w:rPr>
      </w:pPr>
      <w:r>
        <w:rPr>
          <w:rFonts w:ascii="Verdana" w:eastAsia="Calibri" w:hAnsi="Verdana"/>
          <w:sz w:val="22"/>
          <w:szCs w:val="22"/>
          <w:lang w:val="fr-BE" w:eastAsia="en-US"/>
        </w:rPr>
        <w:t>c) bibliothécaire breveté, spécifique à l’enseignement supérieur social de promotion sociale de type court ;</w:t>
      </w:r>
    </w:p>
    <w:p>
      <w:pPr>
        <w:spacing w:after="200" w:line="276" w:lineRule="auto"/>
        <w:jc w:val="both"/>
        <w:rPr>
          <w:rFonts w:ascii="Verdana" w:eastAsia="Calibri" w:hAnsi="Verdana"/>
          <w:sz w:val="22"/>
          <w:szCs w:val="22"/>
          <w:lang w:val="fr-BE" w:eastAsia="en-US"/>
        </w:rPr>
      </w:pPr>
      <w:r>
        <w:rPr>
          <w:rFonts w:ascii="Verdana" w:eastAsia="Calibri" w:hAnsi="Verdana"/>
          <w:sz w:val="22"/>
          <w:szCs w:val="22"/>
          <w:lang w:val="fr-BE" w:eastAsia="en-US"/>
        </w:rPr>
        <w:t>d) correspondant à un titre étranger reconnu par le Gouvernement de la Communauté française comme équivalent aux grades repris au 1°, a), b), c) ;</w:t>
      </w:r>
    </w:p>
    <w:p>
      <w:pPr>
        <w:spacing w:after="200" w:line="276" w:lineRule="auto"/>
        <w:jc w:val="both"/>
        <w:rPr>
          <w:rFonts w:ascii="Verdana" w:eastAsia="Calibri" w:hAnsi="Verdana"/>
          <w:sz w:val="22"/>
          <w:szCs w:val="22"/>
          <w:lang w:val="fr-BE" w:eastAsia="en-US"/>
        </w:rPr>
      </w:pPr>
      <w:r>
        <w:rPr>
          <w:rFonts w:ascii="Verdana" w:eastAsia="Calibri" w:hAnsi="Verdana"/>
          <w:sz w:val="22"/>
          <w:szCs w:val="22"/>
          <w:lang w:val="fr-BE" w:eastAsia="en-US"/>
        </w:rPr>
        <w:t xml:space="preserve">2° soit avoir été </w:t>
      </w:r>
      <w:r>
        <w:rPr>
          <w:rFonts w:ascii="Verdana" w:eastAsia="Calibri" w:hAnsi="Verdana"/>
          <w:b/>
          <w:sz w:val="22"/>
          <w:szCs w:val="22"/>
          <w:lang w:val="fr-BE" w:eastAsia="en-US"/>
        </w:rPr>
        <w:t>titulaire d’une fonction d’animateur</w:t>
      </w:r>
      <w:r>
        <w:rPr>
          <w:rFonts w:ascii="Verdana" w:eastAsia="Calibri" w:hAnsi="Verdana"/>
          <w:sz w:val="22"/>
          <w:szCs w:val="22"/>
          <w:lang w:val="fr-BE" w:eastAsia="en-US"/>
        </w:rPr>
        <w:t xml:space="preserve"> subventionné dans le cadre du décret du 24 octobre 2008 déterminant les conditions de subventionnement de l’emploi dans les secteurs socioculturels de la Communauté française ;</w:t>
      </w:r>
    </w:p>
    <w:p>
      <w:pPr>
        <w:spacing w:after="200" w:line="276" w:lineRule="auto"/>
        <w:jc w:val="both"/>
        <w:rPr>
          <w:rFonts w:ascii="Verdana" w:eastAsia="Calibri" w:hAnsi="Verdana"/>
          <w:sz w:val="22"/>
          <w:szCs w:val="22"/>
          <w:lang w:val="fr-BE" w:eastAsia="en-US"/>
        </w:rPr>
      </w:pPr>
      <w:r>
        <w:rPr>
          <w:rFonts w:ascii="Verdana" w:eastAsia="Calibri" w:hAnsi="Verdana"/>
          <w:sz w:val="22"/>
          <w:szCs w:val="22"/>
          <w:lang w:val="fr-BE" w:eastAsia="en-US"/>
        </w:rPr>
        <w:t xml:space="preserve">3° soit être </w:t>
      </w:r>
      <w:r>
        <w:rPr>
          <w:rFonts w:ascii="Verdana" w:eastAsia="Calibri" w:hAnsi="Verdana"/>
          <w:b/>
          <w:sz w:val="22"/>
          <w:szCs w:val="22"/>
          <w:lang w:val="fr-BE" w:eastAsia="en-US"/>
        </w:rPr>
        <w:t xml:space="preserve">sélectionné par un jury </w:t>
      </w:r>
      <w:r>
        <w:rPr>
          <w:rFonts w:ascii="Verdana" w:eastAsia="Calibri" w:hAnsi="Verdana"/>
          <w:sz w:val="22"/>
          <w:szCs w:val="22"/>
          <w:lang w:val="fr-BE" w:eastAsia="en-US"/>
        </w:rPr>
        <w:t xml:space="preserve">composé au minimum de représentants du ou des pouvoirs organisateurs de l’opérateur du Service public de la Lecture et d’un membre de l’Inspection </w:t>
      </w:r>
      <w:r>
        <w:rPr>
          <w:rFonts w:ascii="Verdana" w:eastAsia="Calibri" w:hAnsi="Verdana"/>
          <w:b/>
          <w:sz w:val="22"/>
          <w:szCs w:val="22"/>
          <w:lang w:val="fr-BE" w:eastAsia="en-US"/>
        </w:rPr>
        <w:t>à</w:t>
      </w:r>
      <w:r>
        <w:rPr>
          <w:rFonts w:ascii="Verdana" w:eastAsia="Calibri" w:hAnsi="Verdana"/>
          <w:sz w:val="22"/>
          <w:szCs w:val="22"/>
          <w:lang w:val="fr-BE" w:eastAsia="en-US"/>
        </w:rPr>
        <w:t xml:space="preserve"> </w:t>
      </w:r>
      <w:r>
        <w:rPr>
          <w:rFonts w:ascii="Verdana" w:eastAsia="Calibri" w:hAnsi="Verdana"/>
          <w:b/>
          <w:sz w:val="22"/>
          <w:szCs w:val="22"/>
          <w:lang w:val="fr-BE" w:eastAsia="en-US"/>
        </w:rPr>
        <w:t>condition</w:t>
      </w:r>
      <w:r>
        <w:rPr>
          <w:rFonts w:ascii="Verdana" w:eastAsia="Calibri" w:hAnsi="Verdana"/>
          <w:sz w:val="22"/>
          <w:szCs w:val="22"/>
          <w:lang w:val="fr-BE" w:eastAsia="en-US"/>
        </w:rPr>
        <w:t xml:space="preserve"> :  </w:t>
      </w:r>
    </w:p>
    <w:p>
      <w:pPr>
        <w:numPr>
          <w:ilvl w:val="0"/>
          <w:numId w:val="15"/>
        </w:numPr>
        <w:spacing w:after="200" w:line="276" w:lineRule="auto"/>
        <w:jc w:val="both"/>
        <w:rPr>
          <w:rFonts w:ascii="Verdana" w:eastAsia="Calibri" w:hAnsi="Verdana"/>
          <w:sz w:val="22"/>
          <w:szCs w:val="22"/>
          <w:lang w:val="fr-BE" w:eastAsia="en-US"/>
        </w:rPr>
      </w:pPr>
      <w:r>
        <w:rPr>
          <w:rFonts w:ascii="Verdana" w:eastAsia="Calibri" w:hAnsi="Verdana"/>
          <w:sz w:val="22"/>
          <w:szCs w:val="22"/>
          <w:lang w:val="fr-BE" w:eastAsia="en-US"/>
        </w:rPr>
        <w:t xml:space="preserve">d’être porteur au minimum d’un titre utile de l’enseignement supérieur de type court </w:t>
      </w:r>
    </w:p>
    <w:p>
      <w:pPr>
        <w:spacing w:after="200" w:line="276" w:lineRule="auto"/>
        <w:jc w:val="both"/>
        <w:rPr>
          <w:rFonts w:ascii="Verdana" w:eastAsia="Calibri" w:hAnsi="Verdana"/>
          <w:sz w:val="22"/>
          <w:szCs w:val="22"/>
          <w:lang w:val="fr-BE" w:eastAsia="en-US"/>
        </w:rPr>
      </w:pPr>
      <w:r>
        <w:rPr>
          <w:rFonts w:ascii="Verdana" w:eastAsia="Calibri" w:hAnsi="Verdana"/>
          <w:sz w:val="22"/>
          <w:szCs w:val="22"/>
          <w:lang w:val="fr-BE" w:eastAsia="en-US"/>
        </w:rPr>
        <w:t>ou</w:t>
      </w:r>
    </w:p>
    <w:p>
      <w:pPr>
        <w:numPr>
          <w:ilvl w:val="0"/>
          <w:numId w:val="15"/>
        </w:numPr>
        <w:spacing w:after="200" w:line="276" w:lineRule="auto"/>
        <w:jc w:val="both"/>
        <w:rPr>
          <w:rFonts w:ascii="Verdana" w:eastAsia="Calibri" w:hAnsi="Verdana"/>
          <w:sz w:val="22"/>
          <w:szCs w:val="22"/>
          <w:lang w:val="fr-BE" w:eastAsia="en-US"/>
        </w:rPr>
      </w:pPr>
      <w:r>
        <w:rPr>
          <w:rFonts w:ascii="Verdana" w:eastAsia="Calibri" w:hAnsi="Verdana"/>
          <w:sz w:val="22"/>
          <w:szCs w:val="22"/>
          <w:lang w:val="fr-BE" w:eastAsia="en-US"/>
        </w:rPr>
        <w:t xml:space="preserve">de pouvoir justifier d’une expérience professionnelle rémunérée utile d’au moins cinq ans ; </w:t>
      </w:r>
    </w:p>
    <w:p>
      <w:pPr>
        <w:spacing w:after="200" w:line="276" w:lineRule="auto"/>
        <w:rPr>
          <w:rFonts w:ascii="Verdana" w:eastAsia="Calibri" w:hAnsi="Verdana"/>
          <w:b/>
          <w:sz w:val="22"/>
          <w:szCs w:val="22"/>
          <w:lang w:val="fr-BE" w:eastAsia="en-US"/>
        </w:rPr>
      </w:pPr>
      <w:r>
        <w:rPr>
          <w:rFonts w:ascii="Verdana" w:eastAsia="Calibri" w:hAnsi="Verdana"/>
          <w:sz w:val="22"/>
          <w:szCs w:val="22"/>
          <w:lang w:val="fr-BE" w:eastAsia="en-US"/>
        </w:rPr>
        <w:t xml:space="preserve">4° soit être porteur, au minimum, </w:t>
      </w:r>
      <w:r>
        <w:rPr>
          <w:rFonts w:ascii="Verdana" w:eastAsia="Calibri" w:hAnsi="Verdana"/>
          <w:b/>
          <w:sz w:val="22"/>
          <w:szCs w:val="22"/>
          <w:lang w:val="fr-BE" w:eastAsia="en-US"/>
        </w:rPr>
        <w:t xml:space="preserve">d’un grade de bachelier en informatique ou de gradué </w:t>
      </w:r>
      <w:r>
        <w:rPr>
          <w:rFonts w:ascii="Verdana" w:eastAsia="Calibri" w:hAnsi="Verdana"/>
          <w:b/>
          <w:sz w:val="22"/>
          <w:szCs w:val="22"/>
          <w:lang w:eastAsia="en-US"/>
        </w:rPr>
        <w:t>de l’enseignement supérieur de type court en informatique.</w:t>
      </w:r>
    </w:p>
    <w:p>
      <w:pPr>
        <w:spacing w:after="200" w:line="276" w:lineRule="auto"/>
        <w:jc w:val="both"/>
        <w:rPr>
          <w:rFonts w:ascii="Verdana" w:eastAsia="Calibri" w:hAnsi="Verdana"/>
          <w:sz w:val="22"/>
          <w:szCs w:val="22"/>
          <w:lang w:val="fr-BE" w:eastAsia="en-US"/>
        </w:rPr>
      </w:pPr>
    </w:p>
    <w:p>
      <w:pPr>
        <w:ind w:left="360"/>
        <w:jc w:val="both"/>
        <w:rPr>
          <w:rFonts w:ascii="Verdana" w:hAnsi="Verdana"/>
        </w:rPr>
      </w:pPr>
    </w:p>
    <w:sectPr>
      <w:footerReference w:type="even" r:id="rId10"/>
      <w:footerReference w:type="default" r:id="rId11"/>
      <w:pgSz w:w="11906" w:h="16838" w:code="9"/>
      <w:pgMar w:top="851" w:right="851" w:bottom="1134" w:left="851" w:header="680" w:footer="68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pPr>
      <w:pStyle w:val="Pieddepag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074725"/>
      <w:docPartObj>
        <w:docPartGallery w:val="Page Numbers (Bottom of Page)"/>
        <w:docPartUnique/>
      </w:docPartObj>
    </w:sdtPr>
    <w:sdtContent>
      <w:p>
        <w:pPr>
          <w:pStyle w:val="Pieddepage"/>
        </w:pPr>
        <w:r>
          <w:fldChar w:fldCharType="begin"/>
        </w:r>
        <w:r>
          <w:instrText>PAGE   \* MERGEFORMAT</w:instrText>
        </w:r>
        <w:r>
          <w:fldChar w:fldCharType="separate"/>
        </w:r>
        <w:r>
          <w:rPr>
            <w:noProof/>
          </w:rPr>
          <w:t>11</w:t>
        </w:r>
        <w:r>
          <w:fldChar w:fldCharType="end"/>
        </w:r>
      </w:p>
    </w:sdtContent>
  </w:sdt>
  <w:p>
    <w:pPr>
      <w:pStyle w:val="Pieddepag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4B3B"/>
    <w:multiLevelType w:val="hybridMultilevel"/>
    <w:tmpl w:val="E85CC6EE"/>
    <w:lvl w:ilvl="0" w:tplc="EA6AAD5A">
      <w:numFmt w:val="bullet"/>
      <w:lvlText w:val="-"/>
      <w:lvlJc w:val="left"/>
      <w:pPr>
        <w:ind w:left="2136" w:hanging="360"/>
      </w:pPr>
      <w:rPr>
        <w:rFonts w:ascii="Calibri" w:eastAsia="Calibri" w:hAnsi="Calibri" w:cs="Calibri" w:hint="default"/>
      </w:rPr>
    </w:lvl>
    <w:lvl w:ilvl="1" w:tplc="080C0003">
      <w:start w:val="1"/>
      <w:numFmt w:val="bullet"/>
      <w:lvlText w:val="o"/>
      <w:lvlJc w:val="left"/>
      <w:pPr>
        <w:ind w:left="2856" w:hanging="360"/>
      </w:pPr>
      <w:rPr>
        <w:rFonts w:ascii="Courier New" w:hAnsi="Courier New" w:cs="Courier New" w:hint="default"/>
      </w:rPr>
    </w:lvl>
    <w:lvl w:ilvl="2" w:tplc="080C0005">
      <w:start w:val="1"/>
      <w:numFmt w:val="bullet"/>
      <w:lvlText w:val=""/>
      <w:lvlJc w:val="left"/>
      <w:pPr>
        <w:ind w:left="3576" w:hanging="360"/>
      </w:pPr>
      <w:rPr>
        <w:rFonts w:ascii="Wingdings" w:hAnsi="Wingdings" w:hint="default"/>
      </w:rPr>
    </w:lvl>
    <w:lvl w:ilvl="3" w:tplc="080C0001">
      <w:start w:val="1"/>
      <w:numFmt w:val="bullet"/>
      <w:lvlText w:val=""/>
      <w:lvlJc w:val="left"/>
      <w:pPr>
        <w:ind w:left="4296" w:hanging="360"/>
      </w:pPr>
      <w:rPr>
        <w:rFonts w:ascii="Symbol" w:hAnsi="Symbol" w:hint="default"/>
      </w:rPr>
    </w:lvl>
    <w:lvl w:ilvl="4" w:tplc="080C0003">
      <w:start w:val="1"/>
      <w:numFmt w:val="bullet"/>
      <w:lvlText w:val="o"/>
      <w:lvlJc w:val="left"/>
      <w:pPr>
        <w:ind w:left="5016" w:hanging="360"/>
      </w:pPr>
      <w:rPr>
        <w:rFonts w:ascii="Courier New" w:hAnsi="Courier New" w:cs="Courier New" w:hint="default"/>
      </w:rPr>
    </w:lvl>
    <w:lvl w:ilvl="5" w:tplc="080C0005">
      <w:start w:val="1"/>
      <w:numFmt w:val="bullet"/>
      <w:lvlText w:val=""/>
      <w:lvlJc w:val="left"/>
      <w:pPr>
        <w:ind w:left="5736" w:hanging="360"/>
      </w:pPr>
      <w:rPr>
        <w:rFonts w:ascii="Wingdings" w:hAnsi="Wingdings" w:hint="default"/>
      </w:rPr>
    </w:lvl>
    <w:lvl w:ilvl="6" w:tplc="080C0001">
      <w:start w:val="1"/>
      <w:numFmt w:val="bullet"/>
      <w:lvlText w:val=""/>
      <w:lvlJc w:val="left"/>
      <w:pPr>
        <w:ind w:left="6456" w:hanging="360"/>
      </w:pPr>
      <w:rPr>
        <w:rFonts w:ascii="Symbol" w:hAnsi="Symbol" w:hint="default"/>
      </w:rPr>
    </w:lvl>
    <w:lvl w:ilvl="7" w:tplc="080C0003">
      <w:start w:val="1"/>
      <w:numFmt w:val="bullet"/>
      <w:lvlText w:val="o"/>
      <w:lvlJc w:val="left"/>
      <w:pPr>
        <w:ind w:left="7176" w:hanging="360"/>
      </w:pPr>
      <w:rPr>
        <w:rFonts w:ascii="Courier New" w:hAnsi="Courier New" w:cs="Courier New" w:hint="default"/>
      </w:rPr>
    </w:lvl>
    <w:lvl w:ilvl="8" w:tplc="080C0005">
      <w:start w:val="1"/>
      <w:numFmt w:val="bullet"/>
      <w:lvlText w:val=""/>
      <w:lvlJc w:val="left"/>
      <w:pPr>
        <w:ind w:left="7896" w:hanging="360"/>
      </w:pPr>
      <w:rPr>
        <w:rFonts w:ascii="Wingdings" w:hAnsi="Wingdings" w:hint="default"/>
      </w:rPr>
    </w:lvl>
  </w:abstractNum>
  <w:abstractNum w:abstractNumId="1" w15:restartNumberingAfterBreak="0">
    <w:nsid w:val="03092B47"/>
    <w:multiLevelType w:val="hybridMultilevel"/>
    <w:tmpl w:val="D5A4A088"/>
    <w:lvl w:ilvl="0" w:tplc="C17AD8B2">
      <w:start w:val="1"/>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686CC4"/>
    <w:multiLevelType w:val="singleLevel"/>
    <w:tmpl w:val="F808E5C4"/>
    <w:lvl w:ilvl="0">
      <w:start w:val="1"/>
      <w:numFmt w:val="decimal"/>
      <w:lvlText w:val="%1."/>
      <w:lvlJc w:val="left"/>
      <w:pPr>
        <w:tabs>
          <w:tab w:val="num" w:pos="1065"/>
        </w:tabs>
        <w:ind w:left="1065" w:hanging="360"/>
      </w:pPr>
      <w:rPr>
        <w:rFonts w:hint="default"/>
      </w:rPr>
    </w:lvl>
  </w:abstractNum>
  <w:abstractNum w:abstractNumId="3" w15:restartNumberingAfterBreak="0">
    <w:nsid w:val="061A50EC"/>
    <w:multiLevelType w:val="hybridMultilevel"/>
    <w:tmpl w:val="EAE61910"/>
    <w:lvl w:ilvl="0" w:tplc="C17AD8B2">
      <w:start w:val="1"/>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87A7228"/>
    <w:multiLevelType w:val="hybridMultilevel"/>
    <w:tmpl w:val="58B8F08E"/>
    <w:lvl w:ilvl="0" w:tplc="C17AD8B2">
      <w:start w:val="1"/>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94663C1"/>
    <w:multiLevelType w:val="hybridMultilevel"/>
    <w:tmpl w:val="D5A4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B487366"/>
    <w:multiLevelType w:val="singleLevel"/>
    <w:tmpl w:val="040C000F"/>
    <w:lvl w:ilvl="0">
      <w:start w:val="1"/>
      <w:numFmt w:val="decimal"/>
      <w:lvlText w:val="%1."/>
      <w:lvlJc w:val="left"/>
      <w:pPr>
        <w:tabs>
          <w:tab w:val="num" w:pos="360"/>
        </w:tabs>
        <w:ind w:left="360" w:hanging="360"/>
      </w:pPr>
      <w:rPr>
        <w:rFonts w:hint="default"/>
      </w:rPr>
    </w:lvl>
  </w:abstractNum>
  <w:abstractNum w:abstractNumId="7" w15:restartNumberingAfterBreak="0">
    <w:nsid w:val="0D047AC1"/>
    <w:multiLevelType w:val="hybridMultilevel"/>
    <w:tmpl w:val="996C65D8"/>
    <w:lvl w:ilvl="0" w:tplc="C17AD8B2">
      <w:start w:val="1"/>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57E365B"/>
    <w:multiLevelType w:val="hybridMultilevel"/>
    <w:tmpl w:val="E3EC6174"/>
    <w:lvl w:ilvl="0" w:tplc="C17AD8B2">
      <w:start w:val="1"/>
      <w:numFmt w:val="bullet"/>
      <w:lvlText w:val="-"/>
      <w:lvlJc w:val="left"/>
      <w:pPr>
        <w:ind w:left="720" w:hanging="360"/>
      </w:pPr>
      <w:rPr>
        <w:rFonts w:ascii="Calibri" w:eastAsia="Times New Roman" w:hAnsi="Calibri" w:cs="Arial" w:hint="default"/>
      </w:rPr>
    </w:lvl>
    <w:lvl w:ilvl="1" w:tplc="C17AD8B2">
      <w:start w:val="1"/>
      <w:numFmt w:val="bullet"/>
      <w:lvlText w:val="-"/>
      <w:lvlJc w:val="left"/>
      <w:pPr>
        <w:ind w:left="1440" w:hanging="360"/>
      </w:pPr>
      <w:rPr>
        <w:rFonts w:ascii="Calibri" w:eastAsia="Times New Roman" w:hAnsi="Calibri"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6921F08"/>
    <w:multiLevelType w:val="hybridMultilevel"/>
    <w:tmpl w:val="7BA610B4"/>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17666709"/>
    <w:multiLevelType w:val="hybridMultilevel"/>
    <w:tmpl w:val="00A4DDC2"/>
    <w:lvl w:ilvl="0" w:tplc="124A1CC0">
      <w:start w:val="1"/>
      <w:numFmt w:val="decimal"/>
      <w:lvlText w:val="%1."/>
      <w:lvlJc w:val="left"/>
      <w:pPr>
        <w:ind w:left="720" w:hanging="360"/>
      </w:pPr>
      <w:rPr>
        <w:rFonts w:hint="default"/>
        <w:b/>
        <w:sz w:val="20"/>
        <w:szCs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876207E"/>
    <w:multiLevelType w:val="hybridMultilevel"/>
    <w:tmpl w:val="A0A431C0"/>
    <w:lvl w:ilvl="0" w:tplc="080C0001">
      <w:start w:val="1"/>
      <w:numFmt w:val="bullet"/>
      <w:lvlText w:val=""/>
      <w:lvlJc w:val="left"/>
      <w:pPr>
        <w:ind w:left="1428" w:hanging="360"/>
      </w:pPr>
      <w:rPr>
        <w:rFonts w:ascii="Symbol" w:hAnsi="Symbol" w:hint="default"/>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start w:val="1"/>
      <w:numFmt w:val="bullet"/>
      <w:lvlText w:val="o"/>
      <w:lvlJc w:val="left"/>
      <w:pPr>
        <w:ind w:left="4308" w:hanging="360"/>
      </w:pPr>
      <w:rPr>
        <w:rFonts w:ascii="Courier New" w:hAnsi="Courier New" w:cs="Courier New" w:hint="default"/>
      </w:rPr>
    </w:lvl>
    <w:lvl w:ilvl="5" w:tplc="080C0005">
      <w:start w:val="1"/>
      <w:numFmt w:val="bullet"/>
      <w:lvlText w:val=""/>
      <w:lvlJc w:val="left"/>
      <w:pPr>
        <w:ind w:left="5028" w:hanging="360"/>
      </w:pPr>
      <w:rPr>
        <w:rFonts w:ascii="Wingdings" w:hAnsi="Wingdings" w:hint="default"/>
      </w:rPr>
    </w:lvl>
    <w:lvl w:ilvl="6" w:tplc="080C0001">
      <w:start w:val="1"/>
      <w:numFmt w:val="bullet"/>
      <w:lvlText w:val=""/>
      <w:lvlJc w:val="left"/>
      <w:pPr>
        <w:ind w:left="5748" w:hanging="360"/>
      </w:pPr>
      <w:rPr>
        <w:rFonts w:ascii="Symbol" w:hAnsi="Symbol" w:hint="default"/>
      </w:rPr>
    </w:lvl>
    <w:lvl w:ilvl="7" w:tplc="080C0003">
      <w:start w:val="1"/>
      <w:numFmt w:val="bullet"/>
      <w:lvlText w:val="o"/>
      <w:lvlJc w:val="left"/>
      <w:pPr>
        <w:ind w:left="6468" w:hanging="360"/>
      </w:pPr>
      <w:rPr>
        <w:rFonts w:ascii="Courier New" w:hAnsi="Courier New" w:cs="Courier New" w:hint="default"/>
      </w:rPr>
    </w:lvl>
    <w:lvl w:ilvl="8" w:tplc="080C0005">
      <w:start w:val="1"/>
      <w:numFmt w:val="bullet"/>
      <w:lvlText w:val=""/>
      <w:lvlJc w:val="left"/>
      <w:pPr>
        <w:ind w:left="7188" w:hanging="360"/>
      </w:pPr>
      <w:rPr>
        <w:rFonts w:ascii="Wingdings" w:hAnsi="Wingdings" w:hint="default"/>
      </w:rPr>
    </w:lvl>
  </w:abstractNum>
  <w:abstractNum w:abstractNumId="12" w15:restartNumberingAfterBreak="0">
    <w:nsid w:val="19F751CD"/>
    <w:multiLevelType w:val="hybridMultilevel"/>
    <w:tmpl w:val="E67A5D84"/>
    <w:lvl w:ilvl="0" w:tplc="0F9641C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1E722480"/>
    <w:multiLevelType w:val="multilevel"/>
    <w:tmpl w:val="C04A8660"/>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29D46D1C"/>
    <w:multiLevelType w:val="hybridMultilevel"/>
    <w:tmpl w:val="54DABAEE"/>
    <w:lvl w:ilvl="0" w:tplc="C17AD8B2">
      <w:start w:val="1"/>
      <w:numFmt w:val="bullet"/>
      <w:lvlText w:val="-"/>
      <w:lvlJc w:val="left"/>
      <w:pPr>
        <w:ind w:left="1782" w:hanging="360"/>
      </w:pPr>
      <w:rPr>
        <w:rFonts w:ascii="Calibri" w:eastAsia="Times New Roman" w:hAnsi="Calibri" w:cs="Arial" w:hint="default"/>
      </w:rPr>
    </w:lvl>
    <w:lvl w:ilvl="1" w:tplc="080C0003" w:tentative="1">
      <w:start w:val="1"/>
      <w:numFmt w:val="bullet"/>
      <w:lvlText w:val="o"/>
      <w:lvlJc w:val="left"/>
      <w:pPr>
        <w:ind w:left="2502" w:hanging="360"/>
      </w:pPr>
      <w:rPr>
        <w:rFonts w:ascii="Courier New" w:hAnsi="Courier New" w:cs="Courier New" w:hint="default"/>
      </w:rPr>
    </w:lvl>
    <w:lvl w:ilvl="2" w:tplc="080C0005" w:tentative="1">
      <w:start w:val="1"/>
      <w:numFmt w:val="bullet"/>
      <w:lvlText w:val=""/>
      <w:lvlJc w:val="left"/>
      <w:pPr>
        <w:ind w:left="3222" w:hanging="360"/>
      </w:pPr>
      <w:rPr>
        <w:rFonts w:ascii="Wingdings" w:hAnsi="Wingdings" w:hint="default"/>
      </w:rPr>
    </w:lvl>
    <w:lvl w:ilvl="3" w:tplc="080C0001" w:tentative="1">
      <w:start w:val="1"/>
      <w:numFmt w:val="bullet"/>
      <w:lvlText w:val=""/>
      <w:lvlJc w:val="left"/>
      <w:pPr>
        <w:ind w:left="3942" w:hanging="360"/>
      </w:pPr>
      <w:rPr>
        <w:rFonts w:ascii="Symbol" w:hAnsi="Symbol" w:hint="default"/>
      </w:rPr>
    </w:lvl>
    <w:lvl w:ilvl="4" w:tplc="080C0003" w:tentative="1">
      <w:start w:val="1"/>
      <w:numFmt w:val="bullet"/>
      <w:lvlText w:val="o"/>
      <w:lvlJc w:val="left"/>
      <w:pPr>
        <w:ind w:left="4662" w:hanging="360"/>
      </w:pPr>
      <w:rPr>
        <w:rFonts w:ascii="Courier New" w:hAnsi="Courier New" w:cs="Courier New" w:hint="default"/>
      </w:rPr>
    </w:lvl>
    <w:lvl w:ilvl="5" w:tplc="080C0005" w:tentative="1">
      <w:start w:val="1"/>
      <w:numFmt w:val="bullet"/>
      <w:lvlText w:val=""/>
      <w:lvlJc w:val="left"/>
      <w:pPr>
        <w:ind w:left="5382" w:hanging="360"/>
      </w:pPr>
      <w:rPr>
        <w:rFonts w:ascii="Wingdings" w:hAnsi="Wingdings" w:hint="default"/>
      </w:rPr>
    </w:lvl>
    <w:lvl w:ilvl="6" w:tplc="080C0001" w:tentative="1">
      <w:start w:val="1"/>
      <w:numFmt w:val="bullet"/>
      <w:lvlText w:val=""/>
      <w:lvlJc w:val="left"/>
      <w:pPr>
        <w:ind w:left="6102" w:hanging="360"/>
      </w:pPr>
      <w:rPr>
        <w:rFonts w:ascii="Symbol" w:hAnsi="Symbol" w:hint="default"/>
      </w:rPr>
    </w:lvl>
    <w:lvl w:ilvl="7" w:tplc="080C0003" w:tentative="1">
      <w:start w:val="1"/>
      <w:numFmt w:val="bullet"/>
      <w:lvlText w:val="o"/>
      <w:lvlJc w:val="left"/>
      <w:pPr>
        <w:ind w:left="6822" w:hanging="360"/>
      </w:pPr>
      <w:rPr>
        <w:rFonts w:ascii="Courier New" w:hAnsi="Courier New" w:cs="Courier New" w:hint="default"/>
      </w:rPr>
    </w:lvl>
    <w:lvl w:ilvl="8" w:tplc="080C0005" w:tentative="1">
      <w:start w:val="1"/>
      <w:numFmt w:val="bullet"/>
      <w:lvlText w:val=""/>
      <w:lvlJc w:val="left"/>
      <w:pPr>
        <w:ind w:left="7542" w:hanging="360"/>
      </w:pPr>
      <w:rPr>
        <w:rFonts w:ascii="Wingdings" w:hAnsi="Wingdings" w:hint="default"/>
      </w:rPr>
    </w:lvl>
  </w:abstractNum>
  <w:abstractNum w:abstractNumId="15" w15:restartNumberingAfterBreak="0">
    <w:nsid w:val="2B6D2D84"/>
    <w:multiLevelType w:val="hybridMultilevel"/>
    <w:tmpl w:val="D2BC01AE"/>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6" w15:restartNumberingAfterBreak="0">
    <w:nsid w:val="2D6B20F3"/>
    <w:multiLevelType w:val="hybridMultilevel"/>
    <w:tmpl w:val="DBD2B020"/>
    <w:lvl w:ilvl="0" w:tplc="C17AD8B2">
      <w:start w:val="1"/>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EA23E78"/>
    <w:multiLevelType w:val="hybridMultilevel"/>
    <w:tmpl w:val="93C47530"/>
    <w:lvl w:ilvl="0" w:tplc="C17AD8B2">
      <w:start w:val="1"/>
      <w:numFmt w:val="bullet"/>
      <w:lvlText w:val="-"/>
      <w:lvlJc w:val="left"/>
      <w:pPr>
        <w:ind w:left="720" w:hanging="360"/>
      </w:pPr>
      <w:rPr>
        <w:rFonts w:ascii="Calibri" w:eastAsia="Times New Roman" w:hAnsi="Calibri"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0D10665"/>
    <w:multiLevelType w:val="hybridMultilevel"/>
    <w:tmpl w:val="0F626272"/>
    <w:lvl w:ilvl="0" w:tplc="080C0001">
      <w:start w:val="1"/>
      <w:numFmt w:val="bullet"/>
      <w:lvlText w:val=""/>
      <w:lvlJc w:val="left"/>
      <w:pPr>
        <w:ind w:left="720" w:hanging="360"/>
      </w:pPr>
      <w:rPr>
        <w:rFonts w:ascii="Symbol" w:hAnsi="Symbol"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58156CA"/>
    <w:multiLevelType w:val="hybridMultilevel"/>
    <w:tmpl w:val="7720AA2C"/>
    <w:lvl w:ilvl="0" w:tplc="C17AD8B2">
      <w:start w:val="1"/>
      <w:numFmt w:val="bullet"/>
      <w:lvlText w:val="-"/>
      <w:lvlJc w:val="left"/>
      <w:pPr>
        <w:ind w:left="1080" w:hanging="360"/>
      </w:pPr>
      <w:rPr>
        <w:rFonts w:ascii="Calibri" w:eastAsia="Times New Roman" w:hAnsi="Calibri"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15:restartNumberingAfterBreak="0">
    <w:nsid w:val="36866107"/>
    <w:multiLevelType w:val="hybridMultilevel"/>
    <w:tmpl w:val="3788E606"/>
    <w:lvl w:ilvl="0" w:tplc="C17AD8B2">
      <w:start w:val="1"/>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9122C9E"/>
    <w:multiLevelType w:val="hybridMultilevel"/>
    <w:tmpl w:val="CC84956A"/>
    <w:lvl w:ilvl="0" w:tplc="C17AD8B2">
      <w:start w:val="1"/>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2980AE7"/>
    <w:multiLevelType w:val="hybridMultilevel"/>
    <w:tmpl w:val="C610E0EC"/>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482906B7"/>
    <w:multiLevelType w:val="hybridMultilevel"/>
    <w:tmpl w:val="AEE4E73C"/>
    <w:lvl w:ilvl="0" w:tplc="C17AD8B2">
      <w:start w:val="1"/>
      <w:numFmt w:val="bullet"/>
      <w:lvlText w:val="-"/>
      <w:lvlJc w:val="left"/>
      <w:pPr>
        <w:ind w:left="1428" w:hanging="360"/>
      </w:pPr>
      <w:rPr>
        <w:rFonts w:ascii="Calibri" w:eastAsia="Times New Roman" w:hAnsi="Calibri" w:cs="Arial" w:hint="default"/>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start w:val="1"/>
      <w:numFmt w:val="bullet"/>
      <w:lvlText w:val="o"/>
      <w:lvlJc w:val="left"/>
      <w:pPr>
        <w:ind w:left="4308" w:hanging="360"/>
      </w:pPr>
      <w:rPr>
        <w:rFonts w:ascii="Courier New" w:hAnsi="Courier New" w:cs="Courier New" w:hint="default"/>
      </w:rPr>
    </w:lvl>
    <w:lvl w:ilvl="5" w:tplc="080C0005">
      <w:start w:val="1"/>
      <w:numFmt w:val="bullet"/>
      <w:lvlText w:val=""/>
      <w:lvlJc w:val="left"/>
      <w:pPr>
        <w:ind w:left="5028" w:hanging="360"/>
      </w:pPr>
      <w:rPr>
        <w:rFonts w:ascii="Wingdings" w:hAnsi="Wingdings" w:hint="default"/>
      </w:rPr>
    </w:lvl>
    <w:lvl w:ilvl="6" w:tplc="080C0001">
      <w:start w:val="1"/>
      <w:numFmt w:val="bullet"/>
      <w:lvlText w:val=""/>
      <w:lvlJc w:val="left"/>
      <w:pPr>
        <w:ind w:left="5748" w:hanging="360"/>
      </w:pPr>
      <w:rPr>
        <w:rFonts w:ascii="Symbol" w:hAnsi="Symbol" w:hint="default"/>
      </w:rPr>
    </w:lvl>
    <w:lvl w:ilvl="7" w:tplc="080C0003">
      <w:start w:val="1"/>
      <w:numFmt w:val="bullet"/>
      <w:lvlText w:val="o"/>
      <w:lvlJc w:val="left"/>
      <w:pPr>
        <w:ind w:left="6468" w:hanging="360"/>
      </w:pPr>
      <w:rPr>
        <w:rFonts w:ascii="Courier New" w:hAnsi="Courier New" w:cs="Courier New" w:hint="default"/>
      </w:rPr>
    </w:lvl>
    <w:lvl w:ilvl="8" w:tplc="080C0005">
      <w:start w:val="1"/>
      <w:numFmt w:val="bullet"/>
      <w:lvlText w:val=""/>
      <w:lvlJc w:val="left"/>
      <w:pPr>
        <w:ind w:left="7188" w:hanging="360"/>
      </w:pPr>
      <w:rPr>
        <w:rFonts w:ascii="Wingdings" w:hAnsi="Wingdings" w:hint="default"/>
      </w:rPr>
    </w:lvl>
  </w:abstractNum>
  <w:abstractNum w:abstractNumId="24" w15:restartNumberingAfterBreak="0">
    <w:nsid w:val="4BD6058A"/>
    <w:multiLevelType w:val="singleLevel"/>
    <w:tmpl w:val="7062D71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F593D5C"/>
    <w:multiLevelType w:val="hybridMultilevel"/>
    <w:tmpl w:val="71728A9A"/>
    <w:lvl w:ilvl="0" w:tplc="C17AD8B2">
      <w:start w:val="1"/>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1817A34"/>
    <w:multiLevelType w:val="hybridMultilevel"/>
    <w:tmpl w:val="04C686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29A26A5"/>
    <w:multiLevelType w:val="multilevel"/>
    <w:tmpl w:val="9CF29738"/>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274" w:hanging="566"/>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8" w15:restartNumberingAfterBreak="0">
    <w:nsid w:val="53F9424C"/>
    <w:multiLevelType w:val="hybridMultilevel"/>
    <w:tmpl w:val="32E4B5F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79D59F2"/>
    <w:multiLevelType w:val="multilevel"/>
    <w:tmpl w:val="C86C836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D170357"/>
    <w:multiLevelType w:val="hybridMultilevel"/>
    <w:tmpl w:val="C2D881FA"/>
    <w:lvl w:ilvl="0" w:tplc="C17AD8B2">
      <w:start w:val="1"/>
      <w:numFmt w:val="bullet"/>
      <w:lvlText w:val="-"/>
      <w:lvlJc w:val="left"/>
      <w:pPr>
        <w:tabs>
          <w:tab w:val="num" w:pos="720"/>
        </w:tabs>
        <w:ind w:left="720" w:hanging="360"/>
      </w:pPr>
      <w:rPr>
        <w:rFonts w:ascii="Calibri" w:eastAsia="Times New Roman" w:hAnsi="Calibri"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A14D1A"/>
    <w:multiLevelType w:val="hybridMultilevel"/>
    <w:tmpl w:val="AF54A986"/>
    <w:lvl w:ilvl="0" w:tplc="C17AD8B2">
      <w:start w:val="1"/>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58B4DC7"/>
    <w:multiLevelType w:val="multilevel"/>
    <w:tmpl w:val="EF2ADDB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3" w15:restartNumberingAfterBreak="0">
    <w:nsid w:val="6B957453"/>
    <w:multiLevelType w:val="hybridMultilevel"/>
    <w:tmpl w:val="7812EA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FA37E7A"/>
    <w:multiLevelType w:val="hybridMultilevel"/>
    <w:tmpl w:val="BFE096B8"/>
    <w:lvl w:ilvl="0" w:tplc="C17AD8B2">
      <w:start w:val="1"/>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FD925CB"/>
    <w:multiLevelType w:val="hybridMultilevel"/>
    <w:tmpl w:val="D2CC525A"/>
    <w:lvl w:ilvl="0" w:tplc="B79C555A">
      <w:numFmt w:val="bullet"/>
      <w:lvlText w:val="-"/>
      <w:lvlJc w:val="left"/>
      <w:pPr>
        <w:ind w:left="720" w:hanging="360"/>
      </w:pPr>
      <w:rPr>
        <w:rFonts w:ascii="Candara" w:eastAsia="Times New Roman" w:hAnsi="Candar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6" w15:restartNumberingAfterBreak="0">
    <w:nsid w:val="733632F7"/>
    <w:multiLevelType w:val="hybridMultilevel"/>
    <w:tmpl w:val="B69AC858"/>
    <w:lvl w:ilvl="0" w:tplc="C17AD8B2">
      <w:start w:val="1"/>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AB11F71"/>
    <w:multiLevelType w:val="hybridMultilevel"/>
    <w:tmpl w:val="E62816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B1A6789"/>
    <w:multiLevelType w:val="hybridMultilevel"/>
    <w:tmpl w:val="8DFC8BCC"/>
    <w:lvl w:ilvl="0" w:tplc="C17AD8B2">
      <w:start w:val="1"/>
      <w:numFmt w:val="bullet"/>
      <w:lvlText w:val="-"/>
      <w:lvlJc w:val="left"/>
      <w:pPr>
        <w:ind w:left="1788" w:hanging="360"/>
      </w:pPr>
      <w:rPr>
        <w:rFonts w:ascii="Calibri" w:eastAsia="Times New Roman" w:hAnsi="Calibri" w:cs="Arial"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num w:numId="1">
    <w:abstractNumId w:val="13"/>
  </w:num>
  <w:num w:numId="2">
    <w:abstractNumId w:val="24"/>
  </w:num>
  <w:num w:numId="3">
    <w:abstractNumId w:val="29"/>
  </w:num>
  <w:num w:numId="4">
    <w:abstractNumId w:val="2"/>
  </w:num>
  <w:num w:numId="5">
    <w:abstractNumId w:val="6"/>
  </w:num>
  <w:num w:numId="6">
    <w:abstractNumId w:val="27"/>
  </w:num>
  <w:num w:numId="7">
    <w:abstractNumId w:val="32"/>
  </w:num>
  <w:num w:numId="8">
    <w:abstractNumId w:val="30"/>
  </w:num>
  <w:num w:numId="9">
    <w:abstractNumId w:val="5"/>
  </w:num>
  <w:num w:numId="10">
    <w:abstractNumId w:val="34"/>
  </w:num>
  <w:num w:numId="11">
    <w:abstractNumId w:val="17"/>
  </w:num>
  <w:num w:numId="12">
    <w:abstractNumId w:val="14"/>
  </w:num>
  <w:num w:numId="13">
    <w:abstractNumId w:val="8"/>
  </w:num>
  <w:num w:numId="14">
    <w:abstractNumId w:val="38"/>
  </w:num>
  <w:num w:numId="15">
    <w:abstractNumId w:val="22"/>
  </w:num>
  <w:num w:numId="16">
    <w:abstractNumId w:val="11"/>
  </w:num>
  <w:num w:numId="17">
    <w:abstractNumId w:val="0"/>
  </w:num>
  <w:num w:numId="18">
    <w:abstractNumId w:val="10"/>
  </w:num>
  <w:num w:numId="19">
    <w:abstractNumId w:val="18"/>
  </w:num>
  <w:num w:numId="20">
    <w:abstractNumId w:val="12"/>
  </w:num>
  <w:num w:numId="21">
    <w:abstractNumId w:val="37"/>
  </w:num>
  <w:num w:numId="22">
    <w:abstractNumId w:val="26"/>
  </w:num>
  <w:num w:numId="23">
    <w:abstractNumId w:val="35"/>
  </w:num>
  <w:num w:numId="24">
    <w:abstractNumId w:val="1"/>
  </w:num>
  <w:num w:numId="25">
    <w:abstractNumId w:val="33"/>
  </w:num>
  <w:num w:numId="26">
    <w:abstractNumId w:val="31"/>
  </w:num>
  <w:num w:numId="27">
    <w:abstractNumId w:val="4"/>
  </w:num>
  <w:num w:numId="28">
    <w:abstractNumId w:val="16"/>
  </w:num>
  <w:num w:numId="29">
    <w:abstractNumId w:val="9"/>
  </w:num>
  <w:num w:numId="30">
    <w:abstractNumId w:val="25"/>
  </w:num>
  <w:num w:numId="31">
    <w:abstractNumId w:val="15"/>
  </w:num>
  <w:num w:numId="32">
    <w:abstractNumId w:val="28"/>
  </w:num>
  <w:num w:numId="33">
    <w:abstractNumId w:val="21"/>
  </w:num>
  <w:num w:numId="34">
    <w:abstractNumId w:val="36"/>
  </w:num>
  <w:num w:numId="35">
    <w:abstractNumId w:val="3"/>
  </w:num>
  <w:num w:numId="36">
    <w:abstractNumId w:val="23"/>
  </w:num>
  <w:num w:numId="37">
    <w:abstractNumId w:val="20"/>
  </w:num>
  <w:num w:numId="38">
    <w:abstractNumId w:val="7"/>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yellow"/>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colormru v:ext="edit" colors="yellow"/>
    </o:shapedefaults>
    <o:shapelayout v:ext="edit">
      <o:idmap v:ext="edit" data="1"/>
    </o:shapelayout>
  </w:shapeDefaults>
  <w:decimalSymbol w:val=","/>
  <w:listSeparator w:val=";"/>
  <w15:docId w15:val="{3BFC4C92-FCE0-4964-92B7-B0BAFE0D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spacing w:before="240" w:after="60"/>
      <w:outlineLvl w:val="0"/>
    </w:pPr>
    <w:rPr>
      <w:rFonts w:ascii="Arial" w:hAnsi="Arial"/>
      <w:b/>
      <w:kern w:val="28"/>
      <w:sz w:val="28"/>
    </w:rPr>
  </w:style>
  <w:style w:type="paragraph" w:styleId="Titre2">
    <w:name w:val="heading 2"/>
    <w:basedOn w:val="Normal"/>
    <w:next w:val="Normal"/>
    <w:qFormat/>
    <w:pPr>
      <w:keepNext/>
      <w:spacing w:before="240" w:after="60"/>
      <w:outlineLvl w:val="1"/>
    </w:pPr>
    <w:rPr>
      <w:rFonts w:ascii="Arial" w:hAnsi="Arial"/>
      <w:b/>
      <w:i/>
      <w:sz w:val="24"/>
    </w:rPr>
  </w:style>
  <w:style w:type="paragraph" w:styleId="Titre3">
    <w:name w:val="heading 3"/>
    <w:basedOn w:val="Normal"/>
    <w:next w:val="Normal"/>
    <w:qFormat/>
    <w:pPr>
      <w:keepNext/>
      <w:outlineLvl w:val="2"/>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spacing w:after="120"/>
    </w:p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character" w:customStyle="1" w:styleId="ft">
    <w:name w:val="ft"/>
    <w:basedOn w:val="Policepardfaut"/>
  </w:style>
  <w:style w:type="character" w:styleId="Marquedecommentaire">
    <w:name w:val="annotation reference"/>
    <w:basedOn w:val="Policepardfaut"/>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Paragraphedeliste">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fr-BE" w:eastAsia="fr-BE"/>
    </w:rPr>
  </w:style>
  <w:style w:type="character" w:customStyle="1" w:styleId="PieddepageCar">
    <w:name w:val="Pied de page Car"/>
    <w:basedOn w:val="Policepardfaut"/>
    <w:link w:val="Pieddepage"/>
    <w:uiPriority w:val="99"/>
    <w:rPr>
      <w:lang w:val="fr-FR" w:eastAsia="fr-FR"/>
    </w:rPr>
  </w:style>
  <w:style w:type="character" w:styleId="Lienhypertexte">
    <w:name w:val="Hyperlink"/>
    <w:basedOn w:val="Policepardfaut"/>
    <w:unhideWhenUsed/>
    <w:rPr>
      <w:color w:val="0000FF" w:themeColor="hyperlink"/>
      <w:u w:val="single"/>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2179">
      <w:bodyDiv w:val="1"/>
      <w:marLeft w:val="0"/>
      <w:marRight w:val="0"/>
      <w:marTop w:val="0"/>
      <w:marBottom w:val="0"/>
      <w:divBdr>
        <w:top w:val="none" w:sz="0" w:space="0" w:color="auto"/>
        <w:left w:val="none" w:sz="0" w:space="0" w:color="auto"/>
        <w:bottom w:val="none" w:sz="0" w:space="0" w:color="auto"/>
        <w:right w:val="none" w:sz="0" w:space="0" w:color="auto"/>
      </w:divBdr>
    </w:div>
    <w:div w:id="396435774">
      <w:bodyDiv w:val="1"/>
      <w:marLeft w:val="0"/>
      <w:marRight w:val="0"/>
      <w:marTop w:val="0"/>
      <w:marBottom w:val="0"/>
      <w:divBdr>
        <w:top w:val="none" w:sz="0" w:space="0" w:color="auto"/>
        <w:left w:val="none" w:sz="0" w:space="0" w:color="auto"/>
        <w:bottom w:val="none" w:sz="0" w:space="0" w:color="auto"/>
        <w:right w:val="none" w:sz="0" w:space="0" w:color="auto"/>
      </w:divBdr>
    </w:div>
    <w:div w:id="613437534">
      <w:bodyDiv w:val="1"/>
      <w:marLeft w:val="0"/>
      <w:marRight w:val="0"/>
      <w:marTop w:val="0"/>
      <w:marBottom w:val="0"/>
      <w:divBdr>
        <w:top w:val="none" w:sz="0" w:space="0" w:color="auto"/>
        <w:left w:val="none" w:sz="0" w:space="0" w:color="auto"/>
        <w:bottom w:val="none" w:sz="0" w:space="0" w:color="auto"/>
        <w:right w:val="none" w:sz="0" w:space="0" w:color="auto"/>
      </w:divBdr>
      <w:divsChild>
        <w:div w:id="1567571009">
          <w:marLeft w:val="0"/>
          <w:marRight w:val="0"/>
          <w:marTop w:val="360"/>
          <w:marBottom w:val="0"/>
          <w:divBdr>
            <w:top w:val="none" w:sz="0" w:space="0" w:color="auto"/>
            <w:left w:val="none" w:sz="0" w:space="0" w:color="auto"/>
            <w:bottom w:val="none" w:sz="0" w:space="0" w:color="auto"/>
            <w:right w:val="none" w:sz="0" w:space="0" w:color="auto"/>
          </w:divBdr>
          <w:divsChild>
            <w:div w:id="502477009">
              <w:marLeft w:val="15"/>
              <w:marRight w:val="15"/>
              <w:marTop w:val="0"/>
              <w:marBottom w:val="0"/>
              <w:divBdr>
                <w:top w:val="none" w:sz="0" w:space="0" w:color="auto"/>
                <w:left w:val="none" w:sz="0" w:space="0" w:color="auto"/>
                <w:bottom w:val="none" w:sz="0" w:space="0" w:color="auto"/>
                <w:right w:val="none" w:sz="0" w:space="0" w:color="auto"/>
              </w:divBdr>
              <w:divsChild>
                <w:div w:id="259148729">
                  <w:marLeft w:val="0"/>
                  <w:marRight w:val="0"/>
                  <w:marTop w:val="0"/>
                  <w:marBottom w:val="0"/>
                  <w:divBdr>
                    <w:top w:val="none" w:sz="0" w:space="0" w:color="auto"/>
                    <w:left w:val="none" w:sz="0" w:space="0" w:color="auto"/>
                    <w:bottom w:val="none" w:sz="0" w:space="0" w:color="auto"/>
                    <w:right w:val="none" w:sz="0" w:space="0" w:color="auto"/>
                  </w:divBdr>
                  <w:divsChild>
                    <w:div w:id="4292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91431">
      <w:bodyDiv w:val="1"/>
      <w:marLeft w:val="0"/>
      <w:marRight w:val="0"/>
      <w:marTop w:val="0"/>
      <w:marBottom w:val="0"/>
      <w:divBdr>
        <w:top w:val="none" w:sz="0" w:space="0" w:color="auto"/>
        <w:left w:val="none" w:sz="0" w:space="0" w:color="auto"/>
        <w:bottom w:val="none" w:sz="0" w:space="0" w:color="auto"/>
        <w:right w:val="none" w:sz="0" w:space="0" w:color="auto"/>
      </w:divBdr>
    </w:div>
    <w:div w:id="728654058">
      <w:bodyDiv w:val="1"/>
      <w:marLeft w:val="0"/>
      <w:marRight w:val="0"/>
      <w:marTop w:val="0"/>
      <w:marBottom w:val="0"/>
      <w:divBdr>
        <w:top w:val="none" w:sz="0" w:space="0" w:color="auto"/>
        <w:left w:val="none" w:sz="0" w:space="0" w:color="auto"/>
        <w:bottom w:val="none" w:sz="0" w:space="0" w:color="auto"/>
        <w:right w:val="none" w:sz="0" w:space="0" w:color="auto"/>
      </w:divBdr>
    </w:div>
    <w:div w:id="1099255271">
      <w:bodyDiv w:val="1"/>
      <w:marLeft w:val="0"/>
      <w:marRight w:val="0"/>
      <w:marTop w:val="0"/>
      <w:marBottom w:val="0"/>
      <w:divBdr>
        <w:top w:val="none" w:sz="0" w:space="0" w:color="auto"/>
        <w:left w:val="none" w:sz="0" w:space="0" w:color="auto"/>
        <w:bottom w:val="none" w:sz="0" w:space="0" w:color="auto"/>
        <w:right w:val="none" w:sz="0" w:space="0" w:color="auto"/>
      </w:divBdr>
      <w:divsChild>
        <w:div w:id="146745021">
          <w:marLeft w:val="0"/>
          <w:marRight w:val="0"/>
          <w:marTop w:val="360"/>
          <w:marBottom w:val="0"/>
          <w:divBdr>
            <w:top w:val="none" w:sz="0" w:space="0" w:color="auto"/>
            <w:left w:val="none" w:sz="0" w:space="0" w:color="auto"/>
            <w:bottom w:val="none" w:sz="0" w:space="0" w:color="auto"/>
            <w:right w:val="none" w:sz="0" w:space="0" w:color="auto"/>
          </w:divBdr>
          <w:divsChild>
            <w:div w:id="1184319980">
              <w:marLeft w:val="15"/>
              <w:marRight w:val="15"/>
              <w:marTop w:val="0"/>
              <w:marBottom w:val="0"/>
              <w:divBdr>
                <w:top w:val="none" w:sz="0" w:space="0" w:color="auto"/>
                <w:left w:val="none" w:sz="0" w:space="0" w:color="auto"/>
                <w:bottom w:val="none" w:sz="0" w:space="0" w:color="auto"/>
                <w:right w:val="none" w:sz="0" w:space="0" w:color="auto"/>
              </w:divBdr>
              <w:divsChild>
                <w:div w:id="1618633927">
                  <w:marLeft w:val="0"/>
                  <w:marRight w:val="0"/>
                  <w:marTop w:val="0"/>
                  <w:marBottom w:val="0"/>
                  <w:divBdr>
                    <w:top w:val="none" w:sz="0" w:space="0" w:color="auto"/>
                    <w:left w:val="none" w:sz="0" w:space="0" w:color="auto"/>
                    <w:bottom w:val="none" w:sz="0" w:space="0" w:color="auto"/>
                    <w:right w:val="none" w:sz="0" w:space="0" w:color="auto"/>
                  </w:divBdr>
                  <w:divsChild>
                    <w:div w:id="1997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56490">
      <w:bodyDiv w:val="1"/>
      <w:marLeft w:val="0"/>
      <w:marRight w:val="0"/>
      <w:marTop w:val="0"/>
      <w:marBottom w:val="0"/>
      <w:divBdr>
        <w:top w:val="none" w:sz="0" w:space="0" w:color="auto"/>
        <w:left w:val="none" w:sz="0" w:space="0" w:color="auto"/>
        <w:bottom w:val="none" w:sz="0" w:space="0" w:color="auto"/>
        <w:right w:val="none" w:sz="0" w:space="0" w:color="auto"/>
      </w:divBdr>
    </w:div>
    <w:div w:id="1825661646">
      <w:bodyDiv w:val="1"/>
      <w:marLeft w:val="0"/>
      <w:marRight w:val="0"/>
      <w:marTop w:val="0"/>
      <w:marBottom w:val="0"/>
      <w:divBdr>
        <w:top w:val="none" w:sz="0" w:space="0" w:color="auto"/>
        <w:left w:val="none" w:sz="0" w:space="0" w:color="auto"/>
        <w:bottom w:val="none" w:sz="0" w:space="0" w:color="auto"/>
        <w:right w:val="none" w:sz="0" w:space="0" w:color="auto"/>
      </w:divBdr>
      <w:divsChild>
        <w:div w:id="1372223616">
          <w:marLeft w:val="0"/>
          <w:marRight w:val="0"/>
          <w:marTop w:val="360"/>
          <w:marBottom w:val="0"/>
          <w:divBdr>
            <w:top w:val="none" w:sz="0" w:space="0" w:color="auto"/>
            <w:left w:val="none" w:sz="0" w:space="0" w:color="auto"/>
            <w:bottom w:val="none" w:sz="0" w:space="0" w:color="auto"/>
            <w:right w:val="none" w:sz="0" w:space="0" w:color="auto"/>
          </w:divBdr>
          <w:divsChild>
            <w:div w:id="1276131421">
              <w:marLeft w:val="15"/>
              <w:marRight w:val="15"/>
              <w:marTop w:val="0"/>
              <w:marBottom w:val="0"/>
              <w:divBdr>
                <w:top w:val="none" w:sz="0" w:space="0" w:color="auto"/>
                <w:left w:val="none" w:sz="0" w:space="0" w:color="auto"/>
                <w:bottom w:val="none" w:sz="0" w:space="0" w:color="auto"/>
                <w:right w:val="none" w:sz="0" w:space="0" w:color="auto"/>
              </w:divBdr>
              <w:divsChild>
                <w:div w:id="990405214">
                  <w:marLeft w:val="0"/>
                  <w:marRight w:val="0"/>
                  <w:marTop w:val="0"/>
                  <w:marBottom w:val="0"/>
                  <w:divBdr>
                    <w:top w:val="none" w:sz="0" w:space="0" w:color="auto"/>
                    <w:left w:val="none" w:sz="0" w:space="0" w:color="auto"/>
                    <w:bottom w:val="none" w:sz="0" w:space="0" w:color="auto"/>
                    <w:right w:val="none" w:sz="0" w:space="0" w:color="auto"/>
                  </w:divBdr>
                  <w:divsChild>
                    <w:div w:id="13048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8214">
      <w:bodyDiv w:val="1"/>
      <w:marLeft w:val="0"/>
      <w:marRight w:val="0"/>
      <w:marTop w:val="0"/>
      <w:marBottom w:val="0"/>
      <w:divBdr>
        <w:top w:val="none" w:sz="0" w:space="0" w:color="auto"/>
        <w:left w:val="none" w:sz="0" w:space="0" w:color="auto"/>
        <w:bottom w:val="none" w:sz="0" w:space="0" w:color="auto"/>
        <w:right w:val="none" w:sz="0" w:space="0" w:color="auto"/>
      </w:divBdr>
      <w:divsChild>
        <w:div w:id="504563759">
          <w:marLeft w:val="0"/>
          <w:marRight w:val="0"/>
          <w:marTop w:val="360"/>
          <w:marBottom w:val="0"/>
          <w:divBdr>
            <w:top w:val="none" w:sz="0" w:space="0" w:color="auto"/>
            <w:left w:val="none" w:sz="0" w:space="0" w:color="auto"/>
            <w:bottom w:val="none" w:sz="0" w:space="0" w:color="auto"/>
            <w:right w:val="none" w:sz="0" w:space="0" w:color="auto"/>
          </w:divBdr>
          <w:divsChild>
            <w:div w:id="886381991">
              <w:marLeft w:val="15"/>
              <w:marRight w:val="15"/>
              <w:marTop w:val="0"/>
              <w:marBottom w:val="0"/>
              <w:divBdr>
                <w:top w:val="none" w:sz="0" w:space="0" w:color="auto"/>
                <w:left w:val="none" w:sz="0" w:space="0" w:color="auto"/>
                <w:bottom w:val="none" w:sz="0" w:space="0" w:color="auto"/>
                <w:right w:val="none" w:sz="0" w:space="0" w:color="auto"/>
              </w:divBdr>
              <w:divsChild>
                <w:div w:id="416945949">
                  <w:marLeft w:val="0"/>
                  <w:marRight w:val="0"/>
                  <w:marTop w:val="0"/>
                  <w:marBottom w:val="0"/>
                  <w:divBdr>
                    <w:top w:val="none" w:sz="0" w:space="0" w:color="auto"/>
                    <w:left w:val="none" w:sz="0" w:space="0" w:color="auto"/>
                    <w:bottom w:val="none" w:sz="0" w:space="0" w:color="auto"/>
                    <w:right w:val="none" w:sz="0" w:space="0" w:color="auto"/>
                  </w:divBdr>
                  <w:divsChild>
                    <w:div w:id="16574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092DF-47A4-4D77-9402-F58AE220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3150</Words>
  <Characters>16859</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cfwb</Company>
  <LinksUpToDate>false</LinksUpToDate>
  <CharactersWithSpaces>19970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CRUSNA01</dc:creator>
  <cp:lastModifiedBy>COUTEAU Diane Sophie</cp:lastModifiedBy>
  <cp:revision>2</cp:revision>
  <cp:lastPrinted>2019-01-29T12:58:00Z</cp:lastPrinted>
  <dcterms:created xsi:type="dcterms:W3CDTF">2022-10-07T07:59:00Z</dcterms:created>
  <dcterms:modified xsi:type="dcterms:W3CDTF">2022-10-07T07:59:00Z</dcterms:modified>
</cp:coreProperties>
</file>